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618" w:rsidRDefault="00A764BE">
      <w:pPr>
        <w:pBdr>
          <w:top w:val="nil"/>
          <w:left w:val="nil"/>
          <w:bottom w:val="nil"/>
          <w:right w:val="nil"/>
          <w:between w:val="nil"/>
        </w:pBdr>
        <w:jc w:val="both"/>
        <w:rPr>
          <w:rFonts w:ascii="Times New Roman" w:eastAsia="Times New Roman" w:hAnsi="Times New Roman" w:cs="Times New Roman"/>
          <w:b/>
          <w:bCs/>
          <w:sz w:val="24"/>
          <w:szCs w:val="24"/>
        </w:rPr>
      </w:pPr>
      <w:r>
        <w:rPr>
          <w:rFonts w:ascii="Arial" w:eastAsia="Arial" w:hAnsi="Arial" w:cs="Arial"/>
          <w:b/>
          <w:bCs/>
          <w:color w:val="000000"/>
          <w:sz w:val="37"/>
          <w:szCs w:val="37"/>
        </w:rPr>
        <w:t xml:space="preserve">Santander </w:t>
      </w:r>
      <w:r>
        <w:rPr>
          <w:rFonts w:ascii="Arial" w:eastAsia="Arial" w:hAnsi="Arial" w:cs="Arial"/>
          <w:b/>
          <w:bCs/>
          <w:sz w:val="37"/>
          <w:szCs w:val="37"/>
        </w:rPr>
        <w:t xml:space="preserve">avanza en la transformación digital del sector turístico con una jornada formativa sobre la Plataforma Inteligente de Destinos </w:t>
      </w:r>
    </w:p>
    <w:p w:rsidR="00681618" w:rsidRDefault="00681618">
      <w:pPr>
        <w:pBdr>
          <w:top w:val="nil"/>
          <w:left w:val="nil"/>
          <w:bottom w:val="nil"/>
          <w:right w:val="nil"/>
          <w:between w:val="nil"/>
        </w:pBdr>
        <w:jc w:val="both"/>
        <w:rPr>
          <w:rFonts w:ascii="Arial" w:eastAsia="Arial" w:hAnsi="Arial" w:cs="Arial"/>
          <w:b/>
          <w:bCs/>
          <w:sz w:val="38"/>
          <w:szCs w:val="38"/>
        </w:rPr>
      </w:pPr>
    </w:p>
    <w:p w:rsidR="00681618" w:rsidRDefault="00681618">
      <w:pPr>
        <w:pBdr>
          <w:top w:val="nil"/>
          <w:left w:val="nil"/>
          <w:bottom w:val="nil"/>
          <w:right w:val="nil"/>
          <w:between w:val="nil"/>
        </w:pBdr>
        <w:jc w:val="both"/>
        <w:rPr>
          <w:rFonts w:ascii="Arial" w:eastAsia="Arial" w:hAnsi="Arial" w:cs="Arial"/>
          <w:b/>
          <w:bCs/>
          <w:sz w:val="38"/>
          <w:szCs w:val="38"/>
        </w:rPr>
      </w:pPr>
    </w:p>
    <w:p w:rsidR="00681618" w:rsidRDefault="00A764BE">
      <w:pPr>
        <w:numPr>
          <w:ilvl w:val="0"/>
          <w:numId w:val="3"/>
        </w:numPr>
        <w:pBdr>
          <w:top w:val="nil"/>
          <w:left w:val="nil"/>
          <w:bottom w:val="nil"/>
          <w:right w:val="nil"/>
          <w:between w:val="nil"/>
        </w:pBdr>
        <w:jc w:val="both"/>
        <w:rPr>
          <w:rFonts w:ascii="Arial" w:eastAsia="Arial" w:hAnsi="Arial" w:cs="Arial"/>
          <w:b/>
          <w:bCs/>
          <w:sz w:val="24"/>
          <w:szCs w:val="24"/>
        </w:rPr>
      </w:pPr>
      <w:r w:rsidRPr="005B5C19">
        <w:rPr>
          <w:rFonts w:ascii="Arial" w:eastAsia="Arial" w:hAnsi="Arial" w:cs="Arial"/>
          <w:b/>
          <w:bCs/>
          <w:sz w:val="24"/>
          <w:szCs w:val="24"/>
        </w:rPr>
        <w:t xml:space="preserve">El Palacio </w:t>
      </w:r>
      <w:r w:rsidR="00EA2DC9" w:rsidRPr="005B5C19">
        <w:rPr>
          <w:rFonts w:ascii="Arial" w:eastAsia="Arial" w:hAnsi="Arial" w:cs="Arial"/>
          <w:b/>
          <w:bCs/>
          <w:sz w:val="24"/>
          <w:szCs w:val="24"/>
        </w:rPr>
        <w:t>de Riva-Herrera</w:t>
      </w:r>
      <w:r w:rsidRPr="00EA2DC9">
        <w:rPr>
          <w:rFonts w:ascii="Arial" w:eastAsia="Arial" w:hAnsi="Arial" w:cs="Arial"/>
          <w:b/>
          <w:bCs/>
          <w:color w:val="FF0000"/>
          <w:sz w:val="24"/>
          <w:szCs w:val="24"/>
        </w:rPr>
        <w:t xml:space="preserve"> </w:t>
      </w:r>
      <w:r>
        <w:rPr>
          <w:rFonts w:ascii="Arial" w:eastAsia="Arial" w:hAnsi="Arial" w:cs="Arial"/>
          <w:b/>
          <w:bCs/>
          <w:sz w:val="24"/>
          <w:szCs w:val="24"/>
        </w:rPr>
        <w:t xml:space="preserve">ha acogido una sesión presencial a la que han asistido representantes de los segmentos clave del sector para analizar las funcionalidades básicas y avanzadas del nuevo ecosistema digital. </w:t>
      </w:r>
    </w:p>
    <w:p w:rsidR="00681618" w:rsidRDefault="00681618">
      <w:pPr>
        <w:pBdr>
          <w:top w:val="nil"/>
          <w:left w:val="nil"/>
          <w:bottom w:val="nil"/>
          <w:right w:val="nil"/>
          <w:between w:val="nil"/>
        </w:pBdr>
        <w:ind w:left="720"/>
        <w:jc w:val="both"/>
        <w:rPr>
          <w:rFonts w:ascii="Arial" w:eastAsia="Arial" w:hAnsi="Arial" w:cs="Arial"/>
          <w:b/>
          <w:bCs/>
          <w:sz w:val="24"/>
          <w:szCs w:val="24"/>
        </w:rPr>
      </w:pPr>
    </w:p>
    <w:p w:rsidR="00681618" w:rsidRDefault="00A764BE">
      <w:pPr>
        <w:numPr>
          <w:ilvl w:val="0"/>
          <w:numId w:val="3"/>
        </w:numPr>
        <w:pBdr>
          <w:top w:val="nil"/>
          <w:left w:val="nil"/>
          <w:bottom w:val="nil"/>
          <w:right w:val="nil"/>
          <w:between w:val="nil"/>
        </w:pBdr>
        <w:jc w:val="both"/>
        <w:rPr>
          <w:rFonts w:ascii="Arial" w:eastAsia="Arial" w:hAnsi="Arial" w:cs="Arial"/>
          <w:b/>
          <w:bCs/>
          <w:sz w:val="24"/>
          <w:szCs w:val="24"/>
        </w:rPr>
      </w:pPr>
      <w:r>
        <w:rPr>
          <w:rFonts w:ascii="Arial" w:eastAsia="Arial" w:hAnsi="Arial" w:cs="Arial"/>
          <w:b/>
          <w:bCs/>
          <w:sz w:val="24"/>
          <w:szCs w:val="24"/>
        </w:rPr>
        <w:t xml:space="preserve">En el marco de esta cita se presentó la nueva web </w:t>
      </w:r>
      <w:hyperlink r:id="rId8">
        <w:r>
          <w:rPr>
            <w:rFonts w:ascii="Arial" w:eastAsia="Arial" w:hAnsi="Arial" w:cs="Arial"/>
            <w:b/>
            <w:bCs/>
            <w:color w:val="1155CC"/>
            <w:sz w:val="24"/>
            <w:szCs w:val="24"/>
            <w:u w:val="single"/>
          </w:rPr>
          <w:t>www.santandersmartdestination.com</w:t>
        </w:r>
      </w:hyperlink>
      <w:r>
        <w:rPr>
          <w:rFonts w:ascii="Arial" w:eastAsia="Arial" w:hAnsi="Arial" w:cs="Arial"/>
          <w:b/>
          <w:bCs/>
          <w:sz w:val="24"/>
          <w:szCs w:val="24"/>
        </w:rPr>
        <w:t xml:space="preserve"> que reúne toda la información y contenidos didácticos del proyecto.</w:t>
      </w:r>
      <w:r w:rsidR="005B5C19">
        <w:rPr>
          <w:rFonts w:ascii="Arial" w:eastAsia="Arial" w:hAnsi="Arial" w:cs="Arial"/>
          <w:b/>
          <w:bCs/>
          <w:sz w:val="24"/>
          <w:szCs w:val="24"/>
        </w:rPr>
        <w:tab/>
      </w:r>
      <w:r>
        <w:rPr>
          <w:rFonts w:ascii="Arial" w:eastAsia="Arial" w:hAnsi="Arial" w:cs="Arial"/>
          <w:b/>
          <w:bCs/>
          <w:sz w:val="24"/>
          <w:szCs w:val="24"/>
        </w:rPr>
        <w:br/>
      </w:r>
    </w:p>
    <w:p w:rsidR="00681618" w:rsidRDefault="00A764BE">
      <w:pPr>
        <w:numPr>
          <w:ilvl w:val="0"/>
          <w:numId w:val="2"/>
        </w:numPr>
        <w:spacing w:line="276" w:lineRule="auto"/>
        <w:rPr>
          <w:rFonts w:ascii="Arial" w:eastAsia="Arial" w:hAnsi="Arial" w:cs="Arial"/>
          <w:b/>
          <w:bCs/>
          <w:sz w:val="24"/>
          <w:szCs w:val="24"/>
        </w:rPr>
      </w:pPr>
      <w:r>
        <w:rPr>
          <w:rFonts w:ascii="Arial" w:eastAsia="Arial" w:hAnsi="Arial" w:cs="Arial"/>
          <w:b/>
          <w:bCs/>
          <w:sz w:val="24"/>
          <w:szCs w:val="24"/>
        </w:rPr>
        <w:t xml:space="preserve">La iniciativa, enmarcada en el proyecto Santander Smart </w:t>
      </w:r>
      <w:proofErr w:type="spellStart"/>
      <w:r>
        <w:rPr>
          <w:rFonts w:ascii="Arial" w:eastAsia="Arial" w:hAnsi="Arial" w:cs="Arial"/>
          <w:b/>
          <w:bCs/>
          <w:sz w:val="24"/>
          <w:szCs w:val="24"/>
        </w:rPr>
        <w:t>Destination</w:t>
      </w:r>
      <w:proofErr w:type="spellEnd"/>
      <w:r>
        <w:rPr>
          <w:rFonts w:ascii="Arial" w:eastAsia="Arial" w:hAnsi="Arial" w:cs="Arial"/>
          <w:b/>
          <w:bCs/>
          <w:sz w:val="24"/>
          <w:szCs w:val="24"/>
        </w:rPr>
        <w:t xml:space="preserve">, está financiada por la Unión Europea a través de los fondos </w:t>
      </w:r>
      <w:proofErr w:type="spellStart"/>
      <w:r>
        <w:rPr>
          <w:rFonts w:ascii="Arial" w:eastAsia="Arial" w:hAnsi="Arial" w:cs="Arial"/>
          <w:b/>
          <w:bCs/>
          <w:sz w:val="24"/>
          <w:szCs w:val="24"/>
        </w:rPr>
        <w:t>NextGenerationEU</w:t>
      </w:r>
      <w:proofErr w:type="spellEnd"/>
      <w:r>
        <w:rPr>
          <w:rFonts w:ascii="Arial" w:eastAsia="Arial" w:hAnsi="Arial" w:cs="Arial"/>
          <w:b/>
          <w:bCs/>
          <w:sz w:val="24"/>
          <w:szCs w:val="24"/>
        </w:rPr>
        <w:t xml:space="preserve">. </w:t>
      </w:r>
    </w:p>
    <w:p w:rsidR="00681618" w:rsidRDefault="00681618">
      <w:pPr>
        <w:pBdr>
          <w:top w:val="nil"/>
          <w:left w:val="nil"/>
          <w:bottom w:val="nil"/>
          <w:right w:val="nil"/>
          <w:between w:val="nil"/>
        </w:pBdr>
        <w:spacing w:after="120"/>
        <w:jc w:val="both"/>
        <w:rPr>
          <w:rFonts w:ascii="Arial" w:eastAsia="Arial" w:hAnsi="Arial" w:cs="Arial"/>
          <w:b/>
          <w:bCs/>
          <w:sz w:val="24"/>
          <w:szCs w:val="24"/>
        </w:rPr>
      </w:pPr>
    </w:p>
    <w:p w:rsidR="00681618" w:rsidRDefault="00681618">
      <w:pPr>
        <w:pBdr>
          <w:top w:val="nil"/>
          <w:left w:val="nil"/>
          <w:bottom w:val="nil"/>
          <w:right w:val="nil"/>
          <w:between w:val="nil"/>
        </w:pBdr>
        <w:spacing w:after="120"/>
        <w:jc w:val="both"/>
        <w:rPr>
          <w:rFonts w:ascii="Arial" w:eastAsia="Arial" w:hAnsi="Arial" w:cs="Arial"/>
          <w:b/>
          <w:bCs/>
          <w:color w:val="000000"/>
        </w:rPr>
      </w:pPr>
    </w:p>
    <w:p w:rsidR="00681618" w:rsidRDefault="00A764BE">
      <w:pPr>
        <w:pBdr>
          <w:top w:val="nil"/>
          <w:left w:val="nil"/>
          <w:bottom w:val="nil"/>
          <w:right w:val="nil"/>
          <w:between w:val="nil"/>
        </w:pBdr>
        <w:spacing w:after="120"/>
        <w:jc w:val="both"/>
        <w:rPr>
          <w:b/>
          <w:bCs/>
          <w:color w:val="000000"/>
        </w:rPr>
      </w:pPr>
      <w:r>
        <w:rPr>
          <w:rFonts w:ascii="Arial" w:eastAsia="Arial" w:hAnsi="Arial" w:cs="Arial"/>
          <w:b/>
          <w:bCs/>
        </w:rPr>
        <w:t>2</w:t>
      </w:r>
      <w:r w:rsidR="005B5C19">
        <w:rPr>
          <w:rFonts w:ascii="Arial" w:eastAsia="Arial" w:hAnsi="Arial" w:cs="Arial"/>
          <w:b/>
          <w:bCs/>
        </w:rPr>
        <w:t>9</w:t>
      </w:r>
      <w:r>
        <w:rPr>
          <w:rFonts w:ascii="Arial" w:eastAsia="Arial" w:hAnsi="Arial" w:cs="Arial"/>
          <w:b/>
          <w:bCs/>
          <w:color w:val="000000"/>
        </w:rPr>
        <w:t>, ma</w:t>
      </w:r>
      <w:r>
        <w:rPr>
          <w:rFonts w:ascii="Arial" w:eastAsia="Arial" w:hAnsi="Arial" w:cs="Arial"/>
          <w:b/>
          <w:bCs/>
        </w:rPr>
        <w:t>yo</w:t>
      </w:r>
      <w:r>
        <w:rPr>
          <w:rFonts w:ascii="Arial" w:eastAsia="Arial" w:hAnsi="Arial" w:cs="Arial"/>
          <w:b/>
          <w:bCs/>
          <w:color w:val="000000"/>
        </w:rPr>
        <w:t>, 26.</w:t>
      </w:r>
      <w:r>
        <w:rPr>
          <w:b/>
          <w:bCs/>
          <w:color w:val="000000"/>
        </w:rPr>
        <w:t xml:space="preserve"> </w:t>
      </w:r>
    </w:p>
    <w:p w:rsidR="00681618" w:rsidRDefault="00A764BE">
      <w:pPr>
        <w:spacing w:after="240" w:line="276" w:lineRule="auto"/>
        <w:jc w:val="both"/>
        <w:rPr>
          <w:rFonts w:ascii="Arial" w:eastAsia="Arial" w:hAnsi="Arial" w:cs="Arial"/>
        </w:rPr>
      </w:pPr>
      <w:r>
        <w:rPr>
          <w:rFonts w:ascii="Arial" w:eastAsia="Arial" w:hAnsi="Arial" w:cs="Arial"/>
        </w:rPr>
        <w:t xml:space="preserve">El Ayuntamiento de Santander continúa dando pasos firmes en la consolidación de su estrategia como Destino Turístico Inteligente. El Palacio </w:t>
      </w:r>
      <w:r w:rsidR="00EA2DC9">
        <w:rPr>
          <w:rFonts w:ascii="Arial" w:eastAsia="Arial" w:hAnsi="Arial" w:cs="Arial"/>
        </w:rPr>
        <w:t xml:space="preserve">de Riva-Herrera </w:t>
      </w:r>
      <w:r>
        <w:rPr>
          <w:rFonts w:ascii="Arial" w:eastAsia="Arial" w:hAnsi="Arial" w:cs="Arial"/>
        </w:rPr>
        <w:t>ha sido el escenario</w:t>
      </w:r>
      <w:r w:rsidR="005B5C19">
        <w:rPr>
          <w:rFonts w:ascii="Arial" w:eastAsia="Arial" w:hAnsi="Arial" w:cs="Arial"/>
        </w:rPr>
        <w:t xml:space="preserve"> esta semana</w:t>
      </w:r>
      <w:bookmarkStart w:id="0" w:name="_GoBack"/>
      <w:bookmarkEnd w:id="0"/>
      <w:r>
        <w:rPr>
          <w:rFonts w:ascii="Arial" w:eastAsia="Arial" w:hAnsi="Arial" w:cs="Arial"/>
        </w:rPr>
        <w:t xml:space="preserve"> de una jornada formativa clave orientada a los agentes implicados del sector turístico de la ciudad. Enmarcada dentro del Plan de Difusión, Comunicación y Formación de la Plataforma Inteligente de Destinos (PID), la sesión ha servido para presentar las herramientas con las que Santander busca interconectar de forma integral todo su ecosistema turístico.</w:t>
      </w:r>
    </w:p>
    <w:p w:rsidR="00681618" w:rsidRPr="005B5C19" w:rsidRDefault="00A764BE">
      <w:pPr>
        <w:spacing w:after="240" w:line="276" w:lineRule="auto"/>
        <w:jc w:val="both"/>
        <w:rPr>
          <w:rFonts w:ascii="Arial" w:eastAsia="Arial" w:hAnsi="Arial" w:cs="Arial"/>
        </w:rPr>
      </w:pPr>
      <w:r>
        <w:rPr>
          <w:rFonts w:ascii="Arial" w:eastAsia="Arial" w:hAnsi="Arial" w:cs="Arial"/>
        </w:rPr>
        <w:t>El objetivo principal</w:t>
      </w:r>
      <w:r w:rsidR="00EA2DC9">
        <w:rPr>
          <w:rFonts w:ascii="Arial" w:eastAsia="Arial" w:hAnsi="Arial" w:cs="Arial"/>
        </w:rPr>
        <w:t>,</w:t>
      </w:r>
      <w:r>
        <w:rPr>
          <w:rFonts w:ascii="Arial" w:eastAsia="Arial" w:hAnsi="Arial" w:cs="Arial"/>
        </w:rPr>
        <w:t xml:space="preserve"> como anticipó Edurne Vidal, directora-gerente de la Empresa Municipal de Turismo de Santander “era capacitar al tejido empresarial local en el uso de las seis funcionalidades clave de la plataforma, que abarcan desde las operativas básicas hasta herramientas analíticas avanzadas”. Así Vidal dio paso a los técnicos de formación de </w:t>
      </w:r>
      <w:proofErr w:type="spellStart"/>
      <w:r>
        <w:rPr>
          <w:rFonts w:ascii="Arial" w:eastAsia="Arial" w:hAnsi="Arial" w:cs="Arial"/>
        </w:rPr>
        <w:t>Minsait</w:t>
      </w:r>
      <w:proofErr w:type="spellEnd"/>
      <w:r>
        <w:rPr>
          <w:rFonts w:ascii="Arial" w:eastAsia="Arial" w:hAnsi="Arial" w:cs="Arial"/>
        </w:rPr>
        <w:t xml:space="preserve"> que se encargaron de explicar en detalle cada una </w:t>
      </w:r>
      <w:r w:rsidRPr="005B5C19">
        <w:rPr>
          <w:rFonts w:ascii="Arial" w:eastAsia="Arial" w:hAnsi="Arial" w:cs="Arial"/>
        </w:rPr>
        <w:t xml:space="preserve">de </w:t>
      </w:r>
      <w:r w:rsidR="00EA2DC9" w:rsidRPr="005B5C19">
        <w:rPr>
          <w:rFonts w:ascii="Arial" w:eastAsia="Arial" w:hAnsi="Arial" w:cs="Arial"/>
        </w:rPr>
        <w:t>estas</w:t>
      </w:r>
      <w:r w:rsidRPr="005B5C19">
        <w:rPr>
          <w:rFonts w:ascii="Arial" w:eastAsia="Arial" w:hAnsi="Arial" w:cs="Arial"/>
        </w:rPr>
        <w:t xml:space="preserve"> funcionalidades</w:t>
      </w:r>
      <w:r>
        <w:rPr>
          <w:rFonts w:ascii="Arial" w:eastAsia="Arial" w:hAnsi="Arial" w:cs="Arial"/>
        </w:rPr>
        <w:t>.</w:t>
      </w:r>
    </w:p>
    <w:p w:rsidR="00681618" w:rsidRDefault="00A764BE">
      <w:pPr>
        <w:spacing w:after="240" w:line="276" w:lineRule="auto"/>
        <w:jc w:val="both"/>
        <w:rPr>
          <w:rFonts w:ascii="Arial" w:eastAsia="Arial" w:hAnsi="Arial" w:cs="Arial"/>
          <w:u w:val="single"/>
        </w:rPr>
      </w:pPr>
      <w:r>
        <w:rPr>
          <w:rFonts w:ascii="Arial" w:eastAsia="Arial" w:hAnsi="Arial" w:cs="Arial"/>
          <w:b/>
          <w:bCs/>
          <w:u w:val="single"/>
        </w:rPr>
        <w:t>Una infraestructura única para conectar el destino</w:t>
      </w:r>
      <w:r>
        <w:rPr>
          <w:rFonts w:ascii="Arial" w:eastAsia="Arial" w:hAnsi="Arial" w:cs="Arial"/>
          <w:u w:val="single"/>
        </w:rPr>
        <w:t xml:space="preserve"> </w:t>
      </w:r>
    </w:p>
    <w:p w:rsidR="00681618" w:rsidRDefault="00A764BE">
      <w:pPr>
        <w:spacing w:after="240" w:line="276" w:lineRule="auto"/>
        <w:jc w:val="both"/>
        <w:rPr>
          <w:rFonts w:ascii="Arial" w:eastAsia="Arial" w:hAnsi="Arial" w:cs="Arial"/>
        </w:rPr>
      </w:pPr>
      <w:r>
        <w:rPr>
          <w:rFonts w:ascii="Arial" w:eastAsia="Arial" w:hAnsi="Arial" w:cs="Arial"/>
        </w:rPr>
        <w:t>Durante el primer bloque de la sesión, los asistentes repasaron las tres funcionalidades básicas de la PID</w:t>
      </w:r>
      <w:r w:rsidR="00EA2DC9">
        <w:rPr>
          <w:rFonts w:ascii="Arial" w:eastAsia="Arial" w:hAnsi="Arial" w:cs="Arial"/>
        </w:rPr>
        <w:t>,</w:t>
      </w:r>
      <w:r>
        <w:rPr>
          <w:rFonts w:ascii="Arial" w:eastAsia="Arial" w:hAnsi="Arial" w:cs="Arial"/>
        </w:rPr>
        <w:t xml:space="preserve"> el </w:t>
      </w:r>
      <w:r>
        <w:rPr>
          <w:rFonts w:ascii="Arial" w:eastAsia="Arial" w:hAnsi="Arial" w:cs="Arial"/>
          <w:b/>
          <w:bCs/>
        </w:rPr>
        <w:t>Registro</w:t>
      </w:r>
      <w:r>
        <w:rPr>
          <w:rFonts w:ascii="Arial" w:eastAsia="Arial" w:hAnsi="Arial" w:cs="Arial"/>
        </w:rPr>
        <w:t xml:space="preserve"> (que permite integrar a todos los actores y centralizar la información para personalizar la experiencia del turista), los </w:t>
      </w:r>
      <w:r>
        <w:rPr>
          <w:rFonts w:ascii="Arial" w:eastAsia="Arial" w:hAnsi="Arial" w:cs="Arial"/>
          <w:b/>
          <w:bCs/>
        </w:rPr>
        <w:t>Canales de Difusión Multicanal</w:t>
      </w:r>
      <w:r>
        <w:rPr>
          <w:rFonts w:ascii="Arial" w:eastAsia="Arial" w:hAnsi="Arial" w:cs="Arial"/>
        </w:rPr>
        <w:t xml:space="preserve"> (que abarcan el futuro portal web del destino, la aplicación móvil nacional y un asistente conversacional turístico disponible las 24 horas) y los </w:t>
      </w:r>
      <w:r>
        <w:rPr>
          <w:rFonts w:ascii="Arial" w:eastAsia="Arial" w:hAnsi="Arial" w:cs="Arial"/>
          <w:b/>
          <w:bCs/>
        </w:rPr>
        <w:t>Cuadros de Mando</w:t>
      </w:r>
      <w:r>
        <w:rPr>
          <w:rFonts w:ascii="Arial" w:eastAsia="Arial" w:hAnsi="Arial" w:cs="Arial"/>
        </w:rPr>
        <w:t xml:space="preserve"> de información consolidada.</w:t>
      </w:r>
    </w:p>
    <w:p w:rsidR="00681618" w:rsidRPr="005B5C19" w:rsidRDefault="00A764BE">
      <w:pPr>
        <w:spacing w:after="240" w:line="276" w:lineRule="auto"/>
        <w:jc w:val="both"/>
        <w:rPr>
          <w:rFonts w:ascii="Arial" w:eastAsia="Arial" w:hAnsi="Arial" w:cs="Arial"/>
        </w:rPr>
      </w:pPr>
      <w:r>
        <w:rPr>
          <w:rFonts w:ascii="Arial" w:eastAsia="Arial" w:hAnsi="Arial" w:cs="Arial"/>
        </w:rPr>
        <w:lastRenderedPageBreak/>
        <w:t>Estos Cuadros de Mando, desarrollados a través de un gestor avanzado de datos, permitirán tanto a la administración local (CDM Destinos) como a las empresas privadas (CDM Empresas) consultar indicadores anonimizados y comparativas sectoriales a nivel nacional. Esto facilitará la toma de decisiones estratégicas basadas en datos reales de rendimiento, comportamiento digital y perfilado de la demanda.</w:t>
      </w:r>
    </w:p>
    <w:p w:rsidR="00681618" w:rsidRDefault="00A764BE">
      <w:pPr>
        <w:spacing w:after="240" w:line="276" w:lineRule="auto"/>
        <w:jc w:val="both"/>
        <w:rPr>
          <w:rFonts w:ascii="Arial" w:eastAsia="Arial" w:hAnsi="Arial" w:cs="Arial"/>
          <w:u w:val="single"/>
        </w:rPr>
      </w:pPr>
      <w:r>
        <w:rPr>
          <w:rFonts w:ascii="Arial" w:eastAsia="Arial" w:hAnsi="Arial" w:cs="Arial"/>
          <w:b/>
          <w:bCs/>
          <w:u w:val="single"/>
        </w:rPr>
        <w:t>Funcionalidades avanzadas: contenido, escucha y autoevaluación</w:t>
      </w:r>
      <w:r>
        <w:rPr>
          <w:rFonts w:ascii="Arial" w:eastAsia="Arial" w:hAnsi="Arial" w:cs="Arial"/>
          <w:u w:val="single"/>
        </w:rPr>
        <w:t xml:space="preserve"> </w:t>
      </w:r>
    </w:p>
    <w:p w:rsidR="00681618" w:rsidRDefault="00A764BE">
      <w:pPr>
        <w:spacing w:after="240" w:line="276" w:lineRule="auto"/>
        <w:jc w:val="both"/>
        <w:rPr>
          <w:rFonts w:ascii="Arial" w:eastAsia="Arial" w:hAnsi="Arial" w:cs="Arial"/>
        </w:rPr>
      </w:pPr>
      <w:r>
        <w:rPr>
          <w:rFonts w:ascii="Arial" w:eastAsia="Arial" w:hAnsi="Arial" w:cs="Arial"/>
        </w:rPr>
        <w:t>El segundo bloque se centró en las capacidades avanzadas diseñadas para hacer de Santander un destino "más vivo, más escuchado y más competitivo". Los expertos tecnológicos presentaron tres herramientas adicionales:</w:t>
      </w:r>
    </w:p>
    <w:p w:rsidR="00681618" w:rsidRDefault="00A764BE">
      <w:pPr>
        <w:numPr>
          <w:ilvl w:val="0"/>
          <w:numId w:val="1"/>
        </w:numPr>
        <w:spacing w:line="276" w:lineRule="auto"/>
      </w:pPr>
      <w:r>
        <w:rPr>
          <w:rFonts w:ascii="Arial" w:eastAsia="Arial" w:hAnsi="Arial" w:cs="Arial"/>
          <w:b/>
          <w:bCs/>
        </w:rPr>
        <w:t>Gestión y enriquecimiento de contenidos:</w:t>
      </w:r>
      <w:r>
        <w:rPr>
          <w:rFonts w:ascii="Arial" w:eastAsia="Arial" w:hAnsi="Arial" w:cs="Arial"/>
        </w:rPr>
        <w:t xml:space="preserve"> Un módulo semántico donde las empresas pueden dar de alta y actualizar su oferta (horarios, tarifas, idiomas o servicios diferenciales) una sola vez, sincronizándose de forma automática en todos los canales oficiales (web, app y asistentes), bajo la moderación y garantía de calidad del ente gestor.</w:t>
      </w:r>
    </w:p>
    <w:p w:rsidR="00681618" w:rsidRDefault="00A764BE">
      <w:pPr>
        <w:numPr>
          <w:ilvl w:val="0"/>
          <w:numId w:val="1"/>
        </w:numPr>
        <w:spacing w:line="276" w:lineRule="auto"/>
      </w:pPr>
      <w:r>
        <w:rPr>
          <w:rFonts w:ascii="Arial" w:eastAsia="Arial" w:hAnsi="Arial" w:cs="Arial"/>
          <w:b/>
          <w:bCs/>
        </w:rPr>
        <w:t>Escucha activa del destino:</w:t>
      </w:r>
      <w:r>
        <w:rPr>
          <w:rFonts w:ascii="Arial" w:eastAsia="Arial" w:hAnsi="Arial" w:cs="Arial"/>
        </w:rPr>
        <w:t xml:space="preserve"> Una suite que integra encuestas personalizadas, monitorización automatizada de la reputación online (en portales como Google o TripAdvisor) y la medición de la percepción ciudadana. Esta funcionalidad busca no solo medir la satisfacción del visitante, sino anticipar y mitigar fricciones entre la actividad turística y la vida local de los residentes cántabros.</w:t>
      </w:r>
    </w:p>
    <w:p w:rsidR="00681618" w:rsidRPr="005B5C19" w:rsidRDefault="00A764BE" w:rsidP="005B5C19">
      <w:pPr>
        <w:numPr>
          <w:ilvl w:val="0"/>
          <w:numId w:val="1"/>
        </w:numPr>
        <w:spacing w:after="240" w:line="276" w:lineRule="auto"/>
      </w:pPr>
      <w:r>
        <w:rPr>
          <w:rFonts w:ascii="Arial" w:eastAsia="Arial" w:hAnsi="Arial" w:cs="Arial"/>
          <w:b/>
          <w:bCs/>
        </w:rPr>
        <w:t>Autoevaluación digital (IMDP):</w:t>
      </w:r>
      <w:r>
        <w:rPr>
          <w:rFonts w:ascii="Arial" w:eastAsia="Arial" w:hAnsi="Arial" w:cs="Arial"/>
        </w:rPr>
        <w:t xml:space="preserve"> A través del Índice de Madurez Digital de las Pymes, los establecimientos podrán realizar un diagnóstico rápido y gratuito de sus capacidades tecnológicas. El sistema genera una hoja de ruta personalizada que identifica las brechas digitales de cada negocio, permitiéndoles priorizar sus inversiones en digitalización frente a la competencia de su sector.</w:t>
      </w:r>
    </w:p>
    <w:p w:rsidR="00681618" w:rsidRDefault="00B92831">
      <w:pPr>
        <w:spacing w:after="240" w:line="276" w:lineRule="auto"/>
        <w:jc w:val="both"/>
        <w:rPr>
          <w:rFonts w:ascii="Arial" w:eastAsia="Arial" w:hAnsi="Arial" w:cs="Arial"/>
          <w:u w:val="single"/>
        </w:rPr>
      </w:pPr>
      <w:hyperlink r:id="rId9">
        <w:r w:rsidR="00A764BE">
          <w:rPr>
            <w:rFonts w:ascii="Arial" w:eastAsia="Arial" w:hAnsi="Arial" w:cs="Arial"/>
            <w:b/>
            <w:bCs/>
            <w:color w:val="1155CC"/>
            <w:u w:val="single"/>
          </w:rPr>
          <w:t>www.santandersmartdestination.com</w:t>
        </w:r>
      </w:hyperlink>
      <w:r w:rsidR="00A764BE">
        <w:rPr>
          <w:rFonts w:ascii="Arial" w:eastAsia="Arial" w:hAnsi="Arial" w:cs="Arial"/>
          <w:b/>
          <w:bCs/>
          <w:u w:val="single"/>
        </w:rPr>
        <w:t>, un portal de referencia</w:t>
      </w:r>
    </w:p>
    <w:p w:rsidR="00681618" w:rsidRPr="005B5C19" w:rsidRDefault="00A764BE">
      <w:pPr>
        <w:spacing w:after="240" w:line="276" w:lineRule="auto"/>
        <w:jc w:val="both"/>
        <w:rPr>
          <w:rFonts w:ascii="Arial" w:eastAsia="Arial" w:hAnsi="Arial" w:cs="Arial"/>
        </w:rPr>
      </w:pPr>
      <w:r>
        <w:rPr>
          <w:rFonts w:ascii="Arial" w:eastAsia="Arial" w:hAnsi="Arial" w:cs="Arial"/>
        </w:rPr>
        <w:t xml:space="preserve">En el marco de esta reunión, además, se presentó a los asistentes la nueva web </w:t>
      </w:r>
      <w:hyperlink r:id="rId10">
        <w:r>
          <w:rPr>
            <w:rFonts w:ascii="Arial" w:eastAsia="Arial" w:hAnsi="Arial" w:cs="Arial"/>
            <w:color w:val="1155CC"/>
            <w:u w:val="single"/>
          </w:rPr>
          <w:t>www.santandersmartdestination.com</w:t>
        </w:r>
      </w:hyperlink>
      <w:r>
        <w:rPr>
          <w:rFonts w:ascii="Arial" w:eastAsia="Arial" w:hAnsi="Arial" w:cs="Arial"/>
        </w:rPr>
        <w:t xml:space="preserve"> que reúne toda la información del proyecto así como los contenidos didácticos adaptados a cada uno de los representantes de los segmentos clave del sector turístico local. Se trata de un portal vivo que, a medida que se vaya progresando en la implantación de la Plataforma Inteligente de Destinos, se irán actualizando contenidos e informando sobre todas las novedades.</w:t>
      </w:r>
    </w:p>
    <w:p w:rsidR="00681618" w:rsidRDefault="00A764BE">
      <w:pPr>
        <w:spacing w:after="240" w:line="276" w:lineRule="auto"/>
        <w:jc w:val="both"/>
        <w:rPr>
          <w:rFonts w:ascii="Arial" w:eastAsia="Arial" w:hAnsi="Arial" w:cs="Arial"/>
          <w:u w:val="single"/>
        </w:rPr>
      </w:pPr>
      <w:r>
        <w:rPr>
          <w:rFonts w:ascii="Arial" w:eastAsia="Arial" w:hAnsi="Arial" w:cs="Arial"/>
          <w:b/>
          <w:bCs/>
          <w:u w:val="single"/>
        </w:rPr>
        <w:t>Colaboración público-privada para la excelencia turística</w:t>
      </w:r>
      <w:r>
        <w:rPr>
          <w:rFonts w:ascii="Arial" w:eastAsia="Arial" w:hAnsi="Arial" w:cs="Arial"/>
          <w:u w:val="single"/>
        </w:rPr>
        <w:t xml:space="preserve"> </w:t>
      </w:r>
    </w:p>
    <w:p w:rsidR="00681618" w:rsidRDefault="00A764BE">
      <w:pPr>
        <w:spacing w:after="240" w:line="276" w:lineRule="auto"/>
        <w:jc w:val="both"/>
        <w:rPr>
          <w:rFonts w:ascii="Arial" w:eastAsia="Arial" w:hAnsi="Arial" w:cs="Arial"/>
        </w:rPr>
      </w:pPr>
      <w:r>
        <w:rPr>
          <w:rFonts w:ascii="Arial" w:eastAsia="Arial" w:hAnsi="Arial" w:cs="Arial"/>
        </w:rPr>
        <w:t>La sesión concluyó con un debate por segmentos donde los profesionales compartieron inquietudes, necesidades de adopción y valoraciones sobre el impacto de estas tecnologías en sus operativas diarias. Ejemplos prácticos expuestos durante la jornada —como la actualización instantánea de agendas ante eventos multitudinarios o la detección automática de necesidades de traducción en recursos culturales— evidenciaron el salto cualitativo que supondrá la plataforma.</w:t>
      </w:r>
    </w:p>
    <w:p w:rsidR="00681618" w:rsidRDefault="00A764BE">
      <w:pPr>
        <w:spacing w:after="240" w:line="276" w:lineRule="auto"/>
        <w:jc w:val="both"/>
        <w:rPr>
          <w:rFonts w:ascii="Arial" w:eastAsia="Arial" w:hAnsi="Arial" w:cs="Arial"/>
        </w:rPr>
      </w:pPr>
      <w:r>
        <w:rPr>
          <w:rFonts w:ascii="Arial" w:eastAsia="Arial" w:hAnsi="Arial" w:cs="Arial"/>
        </w:rPr>
        <w:lastRenderedPageBreak/>
        <w:t xml:space="preserve">El proyecto </w:t>
      </w:r>
      <w:r>
        <w:rPr>
          <w:rFonts w:ascii="Arial" w:eastAsia="Arial" w:hAnsi="Arial" w:cs="Arial"/>
          <w:i/>
          <w:iCs/>
        </w:rPr>
        <w:t xml:space="preserve">Santander Smart </w:t>
      </w:r>
      <w:proofErr w:type="spellStart"/>
      <w:r>
        <w:rPr>
          <w:rFonts w:ascii="Arial" w:eastAsia="Arial" w:hAnsi="Arial" w:cs="Arial"/>
          <w:i/>
          <w:iCs/>
        </w:rPr>
        <w:t>Destination</w:t>
      </w:r>
      <w:proofErr w:type="spellEnd"/>
      <w:r>
        <w:rPr>
          <w:rFonts w:ascii="Arial" w:eastAsia="Arial" w:hAnsi="Arial" w:cs="Arial"/>
        </w:rPr>
        <w:t xml:space="preserve"> está impulsado por el Ministerio de Industria y Turismo a través de la Secretaría de Estado de Turismo y </w:t>
      </w:r>
      <w:proofErr w:type="spellStart"/>
      <w:r>
        <w:rPr>
          <w:rFonts w:ascii="Arial" w:eastAsia="Arial" w:hAnsi="Arial" w:cs="Arial"/>
        </w:rPr>
        <w:t>Segittur</w:t>
      </w:r>
      <w:proofErr w:type="spellEnd"/>
      <w:r>
        <w:rPr>
          <w:rFonts w:ascii="Arial" w:eastAsia="Arial" w:hAnsi="Arial" w:cs="Arial"/>
        </w:rPr>
        <w:t xml:space="preserve">, estando plenamente financiado por la Unión Europea - </w:t>
      </w:r>
      <w:proofErr w:type="spellStart"/>
      <w:r>
        <w:rPr>
          <w:rFonts w:ascii="Arial" w:eastAsia="Arial" w:hAnsi="Arial" w:cs="Arial"/>
        </w:rPr>
        <w:t>NextGenerationEU</w:t>
      </w:r>
      <w:proofErr w:type="spellEnd"/>
      <w:r>
        <w:rPr>
          <w:rFonts w:ascii="Arial" w:eastAsia="Arial" w:hAnsi="Arial" w:cs="Arial"/>
        </w:rPr>
        <w:t xml:space="preserve"> mediante el Plan de Recuperación, Transformación y Resiliencia del Gobierno de España. Con este despliegue, Santander se sitúa a la vanguardia de la Red de Destinos Turísticos Inteligentes, dotando a sus empresas de las herramientas necesarias para competir con éxito en la economía digital.</w:t>
      </w:r>
    </w:p>
    <w:p w:rsidR="00681618" w:rsidRDefault="00A764BE">
      <w:pPr>
        <w:pBdr>
          <w:top w:val="nil"/>
          <w:left w:val="nil"/>
          <w:bottom w:val="nil"/>
          <w:right w:val="nil"/>
          <w:between w:val="nil"/>
        </w:pBdr>
        <w:spacing w:after="120"/>
        <w:jc w:val="both"/>
        <w:rPr>
          <w:rFonts w:ascii="Arial" w:eastAsia="Arial" w:hAnsi="Arial" w:cs="Arial"/>
          <w:b/>
          <w:bCs/>
          <w:color w:val="000000"/>
        </w:rPr>
      </w:pPr>
      <w:r>
        <w:rPr>
          <w:rFonts w:ascii="Arial" w:eastAsia="Arial" w:hAnsi="Arial" w:cs="Arial"/>
          <w:b/>
          <w:bCs/>
          <w:color w:val="000000"/>
        </w:rPr>
        <w:t>Nota: se envían fotografías</w:t>
      </w:r>
    </w:p>
    <w:p w:rsidR="00681618" w:rsidRDefault="00681618">
      <w:pPr>
        <w:pBdr>
          <w:top w:val="nil"/>
          <w:left w:val="nil"/>
          <w:bottom w:val="nil"/>
          <w:right w:val="nil"/>
          <w:between w:val="nil"/>
        </w:pBdr>
        <w:spacing w:after="120"/>
        <w:jc w:val="both"/>
        <w:rPr>
          <w:rFonts w:ascii="Arial" w:eastAsia="Arial" w:hAnsi="Arial" w:cs="Arial"/>
          <w:color w:val="000000"/>
        </w:rPr>
      </w:pPr>
    </w:p>
    <w:p w:rsidR="00681618" w:rsidRDefault="00A764BE">
      <w:pPr>
        <w:pBdr>
          <w:top w:val="nil"/>
          <w:left w:val="nil"/>
          <w:bottom w:val="nil"/>
          <w:right w:val="nil"/>
          <w:between w:val="nil"/>
        </w:pBdr>
        <w:spacing w:after="120"/>
        <w:jc w:val="both"/>
        <w:rPr>
          <w:rFonts w:ascii="Arial" w:eastAsia="Arial" w:hAnsi="Arial" w:cs="Arial"/>
          <w:color w:val="000000"/>
        </w:rPr>
      </w:pPr>
      <w:r>
        <w:rPr>
          <w:rFonts w:ascii="Arial" w:eastAsia="Arial" w:hAnsi="Arial" w:cs="Arial"/>
          <w:noProof/>
          <w:color w:val="000000"/>
          <w:lang w:val="es-ES" w:eastAsia="es-ES"/>
        </w:rPr>
        <w:drawing>
          <wp:inline distT="0" distB="0" distL="0" distR="0">
            <wp:extent cx="285750" cy="285750"/>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285750" cy="285750"/>
                    </a:xfrm>
                    <a:prstGeom prst="rect">
                      <a:avLst/>
                    </a:prstGeom>
                    <a:ln/>
                  </pic:spPr>
                </pic:pic>
              </a:graphicData>
            </a:graphic>
          </wp:inline>
        </w:drawing>
      </w:r>
      <w:r>
        <w:rPr>
          <w:rFonts w:ascii="Arial" w:eastAsia="Arial" w:hAnsi="Arial" w:cs="Arial"/>
          <w:noProof/>
          <w:color w:val="000000"/>
          <w:lang w:val="es-ES" w:eastAsia="es-ES"/>
        </w:rPr>
        <w:drawing>
          <wp:inline distT="0" distB="0" distL="0" distR="0">
            <wp:extent cx="285750" cy="28575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85750" cy="285750"/>
                    </a:xfrm>
                    <a:prstGeom prst="rect">
                      <a:avLst/>
                    </a:prstGeom>
                    <a:ln/>
                  </pic:spPr>
                </pic:pic>
              </a:graphicData>
            </a:graphic>
          </wp:inline>
        </w:drawing>
      </w:r>
    </w:p>
    <w:p w:rsidR="00681618" w:rsidRDefault="00681618">
      <w:pPr>
        <w:pBdr>
          <w:top w:val="nil"/>
          <w:left w:val="nil"/>
          <w:bottom w:val="nil"/>
          <w:right w:val="nil"/>
          <w:between w:val="nil"/>
        </w:pBdr>
        <w:spacing w:after="120"/>
        <w:jc w:val="both"/>
        <w:rPr>
          <w:rFonts w:ascii="Arial" w:eastAsia="Arial" w:hAnsi="Arial" w:cs="Arial"/>
          <w:color w:val="000000"/>
        </w:rPr>
      </w:pPr>
    </w:p>
    <w:sectPr w:rsidR="00681618">
      <w:headerReference w:type="default" r:id="rId19"/>
      <w:footerReference w:type="default" r:id="rId20"/>
      <w:pgSz w:w="11900" w:h="16840"/>
      <w:pgMar w:top="1417" w:right="1701" w:bottom="1417" w:left="1701" w:header="709"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831" w:rsidRDefault="00B92831">
      <w:r>
        <w:separator/>
      </w:r>
    </w:p>
  </w:endnote>
  <w:endnote w:type="continuationSeparator" w:id="0">
    <w:p w:rsidR="00B92831" w:rsidRDefault="00B9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embedRegular r:id="rId1" w:fontKey="{CC47FEA5-461F-4883-9D50-B74CC8FCD295}"/>
    <w:embedBold r:id="rId2" w:fontKey="{CB570C92-D4D1-4B7D-A32A-E881F547D467}"/>
  </w:font>
  <w:font w:name="Calibri">
    <w:panose1 w:val="020F0502020204030204"/>
    <w:charset w:val="00"/>
    <w:family w:val="swiss"/>
    <w:pitch w:val="variable"/>
    <w:sig w:usb0="E4002EFF" w:usb1="C000247B" w:usb2="00000009" w:usb3="00000000" w:csb0="000001FF" w:csb1="00000000"/>
    <w:embedRegular r:id="rId3" w:fontKey="{70614893-D01A-4CF8-9BC8-063BB8543247}"/>
  </w:font>
  <w:font w:name="Georgia">
    <w:panose1 w:val="02040502050405020303"/>
    <w:charset w:val="00"/>
    <w:family w:val="roman"/>
    <w:pitch w:val="variable"/>
    <w:sig w:usb0="00000287" w:usb1="00000000" w:usb2="00000000" w:usb3="00000000" w:csb0="0000009F" w:csb1="00000000"/>
    <w:embedItalic r:id="rId4" w:fontKey="{72AB2A59-9A90-4BD9-97C0-C5CD6C2EE0B7}"/>
  </w:font>
  <w:font w:name="Cambria">
    <w:panose1 w:val="02040503050406030204"/>
    <w:charset w:val="00"/>
    <w:family w:val="roman"/>
    <w:pitch w:val="variable"/>
    <w:sig w:usb0="E00006FF" w:usb1="420024FF" w:usb2="02000000" w:usb3="00000000" w:csb0="0000019F" w:csb1="00000000"/>
    <w:embedRegular r:id="rId5" w:fontKey="{37B2F5DF-ECE3-4577-AB97-08D670417EE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18" w:rsidRDefault="00A764BE">
    <w:pPr>
      <w:tabs>
        <w:tab w:val="center" w:pos="4252"/>
        <w:tab w:val="right" w:pos="8504"/>
      </w:tabs>
      <w:jc w:val="center"/>
      <w:rPr>
        <w:sz w:val="14"/>
        <w:szCs w:val="14"/>
      </w:rPr>
    </w:pPr>
    <w:r>
      <w:rPr>
        <w:sz w:val="14"/>
        <w:szCs w:val="14"/>
      </w:rPr>
      <w:t>Excmo. Ayuntamiento de Santander – Plaza del Ayuntamiento, s/n – 39002, Santander (Cantabria)</w:t>
    </w:r>
  </w:p>
  <w:p w:rsidR="00681618" w:rsidRDefault="00A764BE">
    <w:pPr>
      <w:tabs>
        <w:tab w:val="center" w:pos="4252"/>
        <w:tab w:val="right" w:pos="8504"/>
      </w:tabs>
      <w:jc w:val="center"/>
      <w:rPr>
        <w:color w:val="E88A35"/>
        <w:sz w:val="14"/>
        <w:szCs w:val="14"/>
        <w:u w:val="single"/>
      </w:rPr>
    </w:pPr>
    <w:r>
      <w:rPr>
        <w:sz w:val="14"/>
        <w:szCs w:val="14"/>
      </w:rPr>
      <w:t xml:space="preserve">Teléfono: 942 200 722 – </w:t>
    </w:r>
    <w:hyperlink r:id="rId1">
      <w:r>
        <w:rPr>
          <w:color w:val="E88A35"/>
          <w:sz w:val="14"/>
          <w:szCs w:val="14"/>
          <w:u w:val="single"/>
        </w:rPr>
        <w:t>prensa@ayto-santander.es</w:t>
      </w:r>
    </w:hyperlink>
  </w:p>
  <w:p w:rsidR="00681618" w:rsidRDefault="00681618">
    <w:pPr>
      <w:tabs>
        <w:tab w:val="center" w:pos="4252"/>
        <w:tab w:val="right" w:pos="8504"/>
      </w:tabs>
      <w:jc w:val="center"/>
      <w:rPr>
        <w:color w:val="E88A35"/>
        <w:sz w:val="14"/>
        <w:szCs w:val="14"/>
        <w:u w:val="single"/>
      </w:rPr>
    </w:pPr>
  </w:p>
  <w:p w:rsidR="00681618" w:rsidRDefault="00A764BE">
    <w:pPr>
      <w:tabs>
        <w:tab w:val="center" w:pos="4252"/>
        <w:tab w:val="right" w:pos="8504"/>
      </w:tabs>
      <w:jc w:val="center"/>
      <w:rPr>
        <w:sz w:val="14"/>
        <w:szCs w:val="14"/>
      </w:rPr>
    </w:pPr>
    <w:r>
      <w:rPr>
        <w:noProof/>
        <w:sz w:val="14"/>
        <w:szCs w:val="14"/>
        <w:lang w:val="es-ES" w:eastAsia="es-ES"/>
      </w:rPr>
      <w:drawing>
        <wp:inline distT="0" distB="0" distL="0" distR="0">
          <wp:extent cx="1777897" cy="233483"/>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
                  <a:srcRect/>
                  <a:stretch>
                    <a:fillRect/>
                  </a:stretch>
                </pic:blipFill>
                <pic:spPr>
                  <a:xfrm>
                    <a:off x="0" y="0"/>
                    <a:ext cx="1777897" cy="233483"/>
                  </a:xfrm>
                  <a:prstGeom prst="rect">
                    <a:avLst/>
                  </a:prstGeom>
                  <a:ln/>
                </pic:spPr>
              </pic:pic>
            </a:graphicData>
          </a:graphic>
        </wp:inline>
      </w:drawing>
    </w:r>
  </w:p>
  <w:p w:rsidR="00681618" w:rsidRDefault="0068161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831" w:rsidRDefault="00B92831">
      <w:r>
        <w:separator/>
      </w:r>
    </w:p>
  </w:footnote>
  <w:footnote w:type="continuationSeparator" w:id="0">
    <w:p w:rsidR="00B92831" w:rsidRDefault="00B928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618" w:rsidRDefault="00A764BE">
    <w:pPr>
      <w:pBdr>
        <w:top w:val="nil"/>
        <w:left w:val="nil"/>
        <w:bottom w:val="nil"/>
        <w:right w:val="nil"/>
        <w:between w:val="nil"/>
      </w:pBdr>
      <w:tabs>
        <w:tab w:val="center" w:pos="4252"/>
        <w:tab w:val="right" w:pos="8504"/>
      </w:tabs>
      <w:spacing w:after="1080"/>
      <w:rPr>
        <w:color w:val="000000"/>
      </w:rPr>
    </w:pPr>
    <w:r>
      <w:rPr>
        <w:noProof/>
        <w:color w:val="000000"/>
        <w:lang w:val="es-ES" w:eastAsia="es-ES"/>
      </w:rPr>
      <w:drawing>
        <wp:anchor distT="0" distB="0" distL="114300" distR="114300" simplePos="0" relativeHeight="251658240" behindDoc="0" locked="0" layoutInCell="1" hidden="0" allowOverlap="1">
          <wp:simplePos x="0" y="0"/>
          <wp:positionH relativeFrom="page">
            <wp:posOffset>-1268</wp:posOffset>
          </wp:positionH>
          <wp:positionV relativeFrom="page">
            <wp:posOffset>16510</wp:posOffset>
          </wp:positionV>
          <wp:extent cx="7559675" cy="947420"/>
          <wp:effectExtent l="0" t="0" r="0" b="0"/>
          <wp:wrapSquare wrapText="bothSides" distT="0" distB="0" distL="114300" distR="114300"/>
          <wp:docPr id="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7559675" cy="9474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6B2"/>
    <w:multiLevelType w:val="multilevel"/>
    <w:tmpl w:val="C9926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B03F7"/>
    <w:multiLevelType w:val="multilevel"/>
    <w:tmpl w:val="ACACF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364B1A"/>
    <w:multiLevelType w:val="multilevel"/>
    <w:tmpl w:val="B9649F3A"/>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18"/>
    <w:rsid w:val="005B5C19"/>
    <w:rsid w:val="00681618"/>
    <w:rsid w:val="00A764BE"/>
    <w:rsid w:val="00B92831"/>
    <w:rsid w:val="00DC1894"/>
    <w:rsid w:val="00EA2DC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80CB"/>
  <w15:docId w15:val="{DFE96344-24FE-486A-BBF0-94369F3B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Lato" w:hAnsi="Lato" w:cs="Lato"/>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outlineLvl w:val="0"/>
    </w:pPr>
  </w:style>
  <w:style w:type="paragraph" w:styleId="Ttulo2">
    <w:name w:val="heading 2"/>
    <w:basedOn w:val="Normal"/>
    <w:next w:val="Normal"/>
    <w:uiPriority w:val="9"/>
    <w:semiHidden/>
    <w:unhideWhenUsed/>
    <w:qFormat/>
    <w:pPr>
      <w:outlineLvl w:val="1"/>
    </w:pPr>
  </w:style>
  <w:style w:type="paragraph" w:styleId="Ttulo3">
    <w:name w:val="heading 3"/>
    <w:basedOn w:val="Normal"/>
    <w:next w:val="Normal"/>
    <w:uiPriority w:val="9"/>
    <w:semiHidden/>
    <w:unhideWhenUsed/>
    <w:qFormat/>
    <w:pPr>
      <w:outlineLvl w:val="2"/>
    </w:pPr>
  </w:style>
  <w:style w:type="paragraph" w:styleId="Ttulo4">
    <w:name w:val="heading 4"/>
    <w:basedOn w:val="Normal"/>
    <w:next w:val="Normal"/>
    <w:uiPriority w:val="9"/>
    <w:semiHidden/>
    <w:unhideWhenUsed/>
    <w:qFormat/>
    <w:pPr>
      <w:outlineLvl w:val="3"/>
    </w:pPr>
  </w:style>
  <w:style w:type="paragraph" w:styleId="Ttulo5">
    <w:name w:val="heading 5"/>
    <w:basedOn w:val="Normal"/>
    <w:next w:val="Normal"/>
    <w:uiPriority w:val="9"/>
    <w:semiHidden/>
    <w:unhideWhenUsed/>
    <w:qFormat/>
    <w:pPr>
      <w:outlineLvl w:val="4"/>
    </w:pPr>
  </w:style>
  <w:style w:type="paragraph" w:styleId="Ttulo6">
    <w:name w:val="heading 6"/>
    <w:basedOn w:val="Normal"/>
    <w:next w:val="Normal"/>
    <w:uiPriority w:val="9"/>
    <w:semiHidden/>
    <w:unhideWhenUsed/>
    <w:qFormat/>
    <w:pPr>
      <w:keepNext/>
      <w:keepLines/>
      <w:spacing w:before="40"/>
      <w:outlineLvl w:val="5"/>
    </w:pPr>
    <w:rPr>
      <w:rFonts w:ascii="Calibri" w:eastAsia="Calibri" w:hAnsi="Calibri" w:cs="Calibri"/>
      <w:color w:val="00303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antandersmartdestination.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santandersmartdestination.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ntandersmartdestination.com" TargetMode="External"/><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mailto:prensa@ayto-santande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O8VH0pSkuZrRGTs46RAgZFo5yw==">CgMxLjA4AHIhMW93RmdjTGVrR0VvNjBaRGZWYnpsNWY4YzR1bDlyUjRY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889</Words>
  <Characters>4891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Edurne Vidal Lopez-Tormos</dc:creator>
  <cp:lastModifiedBy>Usuario de Windows</cp:lastModifiedBy>
  <cp:revision>3</cp:revision>
  <dcterms:created xsi:type="dcterms:W3CDTF">2026-05-28T15:08:00Z</dcterms:created>
  <dcterms:modified xsi:type="dcterms:W3CDTF">2026-05-29T08:06:00Z</dcterms:modified>
</cp:coreProperties>
</file>