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bCs w:val="1"/>
          <w:sz w:val="24"/>
          <w:szCs w:val="24"/>
        </w:rPr>
      </w:pPr>
      <w:r w:rsidDel="00000000" w:rsidR="00000000" w:rsidRPr="00000000">
        <w:rPr>
          <w:rFonts w:ascii="Arial" w:cs="Arial" w:eastAsia="Arial" w:hAnsi="Arial"/>
          <w:b w:val="1"/>
          <w:bCs w:val="1"/>
          <w:sz w:val="36"/>
          <w:szCs w:val="36"/>
          <w:rtl w:val="0"/>
        </w:rPr>
        <w:t xml:space="preserve">Santander Smart Destination celebra mañana un nuevo webinar con el ecosistema turístico local</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both"/>
        <w:rPr>
          <w:rFonts w:ascii="Arial" w:cs="Arial" w:eastAsia="Arial" w:hAnsi="Arial"/>
          <w:b w:val="1"/>
          <w:bCs w:val="1"/>
          <w:sz w:val="38"/>
          <w:szCs w:val="38"/>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both"/>
        <w:rPr>
          <w:rFonts w:ascii="Arial" w:cs="Arial" w:eastAsia="Arial" w:hAnsi="Arial"/>
          <w:b w:val="1"/>
          <w:bCs w:val="1"/>
          <w:sz w:val="38"/>
          <w:szCs w:val="38"/>
        </w:rPr>
      </w:pPr>
      <w:r w:rsidDel="00000000" w:rsidR="00000000" w:rsidRPr="00000000">
        <w:rPr>
          <w:rtl w:val="0"/>
        </w:rPr>
      </w:r>
    </w:p>
    <w:p w:rsidR="00000000" w:rsidDel="00000000" w:rsidP="00000000" w:rsidRDefault="00000000" w:rsidRPr="00000000" w14:paraId="00000004">
      <w:pPr>
        <w:numPr>
          <w:ilvl w:val="0"/>
          <w:numId w:val="2"/>
        </w:numPr>
        <w:pBdr>
          <w:top w:space="0" w:sz="0" w:val="nil"/>
          <w:left w:space="0" w:sz="0" w:val="nil"/>
          <w:bottom w:space="0" w:sz="0" w:val="nil"/>
          <w:right w:space="0" w:sz="0" w:val="nil"/>
          <w:between w:space="0" w:sz="0" w:val="nil"/>
        </w:pBdr>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Esta segunda convocatoria on-line, programada para mañana 11 de junio, está orientada a presentar las herramientas avanzadas de la plataforma para optimizar la gestión empresarial y mejorar la experiencia del viajero.</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lineRule="auto"/>
        <w:jc w:val="both"/>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lineRule="auto"/>
        <w:jc w:val="both"/>
        <w:rPr>
          <w:b w:val="1"/>
          <w:bCs w:val="1"/>
          <w:color w:val="000000"/>
        </w:rPr>
      </w:pPr>
      <w:r w:rsidDel="00000000" w:rsidR="00000000" w:rsidRPr="00000000">
        <w:rPr>
          <w:rFonts w:ascii="Arial" w:cs="Arial" w:eastAsia="Arial" w:hAnsi="Arial"/>
          <w:b w:val="1"/>
          <w:bCs w:val="1"/>
          <w:rtl w:val="0"/>
        </w:rPr>
        <w:t xml:space="preserve">4</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b w:val="1"/>
          <w:bCs w:val="1"/>
          <w:rtl w:val="0"/>
        </w:rPr>
        <w:t xml:space="preserve">junio</w:t>
      </w:r>
      <w:r w:rsidDel="00000000" w:rsidR="00000000" w:rsidRPr="00000000">
        <w:rPr>
          <w:rFonts w:ascii="Arial" w:cs="Arial" w:eastAsia="Arial" w:hAnsi="Arial"/>
          <w:b w:val="1"/>
          <w:bCs w:val="1"/>
          <w:color w:val="000000"/>
          <w:rtl w:val="0"/>
        </w:rPr>
        <w:t xml:space="preserve">, 26.</w:t>
      </w:r>
      <w:r w:rsidDel="00000000" w:rsidR="00000000" w:rsidRPr="00000000">
        <w:rPr>
          <w:b w:val="1"/>
          <w:bCs w:val="1"/>
          <w:color w:val="000000"/>
          <w:rtl w:val="0"/>
        </w:rPr>
        <w:t xml:space="preserve"> </w:t>
      </w:r>
    </w:p>
    <w:p w:rsidR="00000000" w:rsidDel="00000000" w:rsidP="00000000" w:rsidRDefault="00000000" w:rsidRPr="00000000" w14:paraId="00000008">
      <w:pPr>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El Ayuntamiento de Santander, en el marco de su firme apuesta por consolidarse como una ciudad conectada y tecnológicamente vanguardista, continúa dando pasos decisivos en el despliegue de la Plataforma Inteligente de Destinos en el marco de </w:t>
      </w:r>
      <w:r w:rsidDel="00000000" w:rsidR="00000000" w:rsidRPr="00000000">
        <w:rPr>
          <w:rFonts w:ascii="Arial" w:cs="Arial" w:eastAsia="Arial" w:hAnsi="Arial"/>
          <w:b w:val="1"/>
          <w:bCs w:val="1"/>
          <w:rtl w:val="0"/>
        </w:rPr>
        <w:t xml:space="preserve">Santander Smart Destination</w:t>
      </w:r>
      <w:r w:rsidDel="00000000" w:rsidR="00000000" w:rsidRPr="00000000">
        <w:rPr>
          <w:rFonts w:ascii="Arial" w:cs="Arial" w:eastAsia="Arial" w:hAnsi="Arial"/>
          <w:rtl w:val="0"/>
        </w:rPr>
        <w:t xml:space="preserve">. Tras el lanzamiento oficial de esta infraestructura pública digital el pasado mes de marzo, la administración local busca ahora maximizar la adopción de la herramienta por parte del tejido empresarial, organizando una nueva sesión de formación online que se celebrará mañana </w:t>
      </w:r>
      <w:r w:rsidDel="00000000" w:rsidR="00000000" w:rsidRPr="00000000">
        <w:rPr>
          <w:rFonts w:ascii="Arial" w:cs="Arial" w:eastAsia="Arial" w:hAnsi="Arial"/>
          <w:b w:val="1"/>
          <w:bCs w:val="1"/>
          <w:rtl w:val="0"/>
        </w:rPr>
        <w:t xml:space="preserve">11 de junio, a las 09:50 horas</w:t>
      </w:r>
      <w:r w:rsidDel="00000000" w:rsidR="00000000" w:rsidRPr="00000000">
        <w:rPr>
          <w:rFonts w:ascii="Arial" w:cs="Arial" w:eastAsia="Arial" w:hAnsi="Arial"/>
          <w:rtl w:val="0"/>
        </w:rPr>
        <w:t xml:space="preserve">.</w:t>
      </w:r>
    </w:p>
    <w:p w:rsidR="00000000" w:rsidDel="00000000" w:rsidP="00000000" w:rsidRDefault="00000000" w:rsidRPr="00000000" w14:paraId="00000009">
      <w:pPr>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Esta jornada técnica tiene como propósito fundamental acompañar de manera activa al sector turístico local (hoteles, comercio, restauración y empresas de servicios) en su transición hacia el entorno digital. El consistorio considera clave que los agentes privados no solo conozcan la existencia de la Plataforma Inteligente de Destinos (PID), sino que aprendan a exprimir todo su potencial operativo para optimizar la gestión interna de sus negocios y, en consecuencia, elevar la satisfacción general de los turistas que visitan la capital cántabra.</w:t>
      </w:r>
    </w:p>
    <w:p w:rsidR="00000000" w:rsidDel="00000000" w:rsidP="00000000" w:rsidRDefault="00000000" w:rsidRPr="00000000" w14:paraId="0000000A">
      <w:pPr>
        <w:pStyle w:val="Heading3"/>
        <w:spacing w:after="80" w:before="280" w:line="276" w:lineRule="auto"/>
        <w:jc w:val="both"/>
        <w:rPr>
          <w:rFonts w:ascii="Arial" w:cs="Arial" w:eastAsia="Arial" w:hAnsi="Arial"/>
          <w:b w:val="1"/>
          <w:bCs w:val="1"/>
          <w:u w:val="single"/>
        </w:rPr>
      </w:pPr>
      <w:bookmarkStart w:colFirst="0" w:colLast="0" w:name="_heading=h.qte0pmvl8a4m" w:id="0"/>
      <w:bookmarkEnd w:id="0"/>
      <w:r w:rsidDel="00000000" w:rsidR="00000000" w:rsidRPr="00000000">
        <w:rPr>
          <w:rFonts w:ascii="Arial" w:cs="Arial" w:eastAsia="Arial" w:hAnsi="Arial"/>
          <w:b w:val="1"/>
          <w:bCs w:val="1"/>
          <w:u w:val="single"/>
          <w:rtl w:val="0"/>
        </w:rPr>
        <w:t xml:space="preserve">Un análisis profundo: funciones básicas y nuevos módulos avanzados</w:t>
      </w:r>
    </w:p>
    <w:p w:rsidR="00000000" w:rsidDel="00000000" w:rsidP="00000000" w:rsidRDefault="00000000" w:rsidRPr="00000000" w14:paraId="0000000B">
      <w:pPr>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La sesión de formación online, que tendrá una duración estimada de </w:t>
      </w:r>
      <w:r w:rsidDel="00000000" w:rsidR="00000000" w:rsidRPr="00000000">
        <w:rPr>
          <w:rFonts w:ascii="Arial" w:cs="Arial" w:eastAsia="Arial" w:hAnsi="Arial"/>
          <w:b w:val="1"/>
          <w:bCs w:val="1"/>
          <w:rtl w:val="0"/>
        </w:rPr>
        <w:t xml:space="preserve">1,5 horas</w:t>
      </w:r>
      <w:r w:rsidDel="00000000" w:rsidR="00000000" w:rsidRPr="00000000">
        <w:rPr>
          <w:rFonts w:ascii="Arial" w:cs="Arial" w:eastAsia="Arial" w:hAnsi="Arial"/>
          <w:rtl w:val="0"/>
        </w:rPr>
        <w:t xml:space="preserve">, ha sido diseñada con un enfoque eminentemente práctico. Durante la primera parte del encuentro, se repasarán de forma breve y dinámica las funciones básicas de la infraestructura para asegurar que todos los asistentes partan de una base común.</w:t>
      </w:r>
    </w:p>
    <w:p w:rsidR="00000000" w:rsidDel="00000000" w:rsidP="00000000" w:rsidRDefault="00000000" w:rsidRPr="00000000" w14:paraId="0000000C">
      <w:pPr>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Posteriormente, los expertos se enfocarán de lleno en desgranar las tres nuevas herramientas avanzadas que incorpora la plataforma:</w:t>
      </w:r>
    </w:p>
    <w:p w:rsidR="00000000" w:rsidDel="00000000" w:rsidP="00000000" w:rsidRDefault="00000000" w:rsidRPr="00000000" w14:paraId="0000000D">
      <w:pPr>
        <w:numPr>
          <w:ilvl w:val="0"/>
          <w:numId w:val="3"/>
        </w:numPr>
        <w:spacing w:after="0" w:before="240" w:line="276"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Geolocalización:</w:t>
      </w:r>
      <w:r w:rsidDel="00000000" w:rsidR="00000000" w:rsidRPr="00000000">
        <w:rPr>
          <w:rFonts w:ascii="Arial" w:cs="Arial" w:eastAsia="Arial" w:hAnsi="Arial"/>
          <w:rtl w:val="0"/>
        </w:rPr>
        <w:t xml:space="preserve"> Una funcionalidad clave que permitirá analizar de forma agregada los flujos de movimiento y las zonas de mayor concentración de visitantes en la ciudad, facilitando a los comercios y negocios turísticos una toma de decisiones comerciales mucho más estratégica y basada en datos de ubicación reales.</w:t>
      </w:r>
    </w:p>
    <w:p w:rsidR="00000000" w:rsidDel="00000000" w:rsidP="00000000" w:rsidRDefault="00000000" w:rsidRPr="00000000" w14:paraId="0000000E">
      <w:pPr>
        <w:numPr>
          <w:ilvl w:val="0"/>
          <w:numId w:val="3"/>
        </w:numPr>
        <w:spacing w:after="0" w:before="0" w:line="276"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Planificación integral de la actividad:</w:t>
      </w:r>
      <w:r w:rsidDel="00000000" w:rsidR="00000000" w:rsidRPr="00000000">
        <w:rPr>
          <w:rFonts w:ascii="Arial" w:cs="Arial" w:eastAsia="Arial" w:hAnsi="Arial"/>
          <w:rtl w:val="0"/>
        </w:rPr>
        <w:t xml:space="preserve"> Una herramienta orientada a coordinar, anticipar y estructurar la oferta de actividades del destino. Esto permitirá mitigar la estacionalidad, evitar solapamientos de eventos y mejorar de forma sustancial la distribución del gasto turístico en toda la ciudad.</w:t>
      </w:r>
    </w:p>
    <w:p w:rsidR="00000000" w:rsidDel="00000000" w:rsidP="00000000" w:rsidRDefault="00000000" w:rsidRPr="00000000" w14:paraId="0000000F">
      <w:pPr>
        <w:numPr>
          <w:ilvl w:val="0"/>
          <w:numId w:val="3"/>
        </w:numPr>
        <w:spacing w:after="240" w:before="0" w:line="276"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Calidad de la experiencia del turista:</w:t>
      </w:r>
      <w:r w:rsidDel="00000000" w:rsidR="00000000" w:rsidRPr="00000000">
        <w:rPr>
          <w:rFonts w:ascii="Arial" w:cs="Arial" w:eastAsia="Arial" w:hAnsi="Arial"/>
          <w:rtl w:val="0"/>
        </w:rPr>
        <w:t xml:space="preserve"> Un módulo analítico avanzado diseñado para capturar de manera constante el nivel de satisfacción, opiniones y percepciones del viajero antes, durante y después de su estancia, permitiendo al ecosistema local corregir deficiencias y potenciar sus fortalezas en tiempo real.</w:t>
      </w:r>
    </w:p>
    <w:p w:rsidR="00000000" w:rsidDel="00000000" w:rsidP="00000000" w:rsidRDefault="00000000" w:rsidRPr="00000000" w14:paraId="00000010">
      <w:pPr>
        <w:pStyle w:val="Heading3"/>
        <w:spacing w:after="80" w:before="280" w:line="276" w:lineRule="auto"/>
        <w:jc w:val="both"/>
        <w:rPr>
          <w:rFonts w:ascii="Arial" w:cs="Arial" w:eastAsia="Arial" w:hAnsi="Arial"/>
          <w:b w:val="1"/>
          <w:bCs w:val="1"/>
          <w:u w:val="single"/>
        </w:rPr>
      </w:pPr>
      <w:bookmarkStart w:colFirst="0" w:colLast="0" w:name="_heading=h.jknk3hgj1oe0" w:id="1"/>
      <w:bookmarkEnd w:id="1"/>
      <w:r w:rsidDel="00000000" w:rsidR="00000000" w:rsidRPr="00000000">
        <w:rPr>
          <w:rFonts w:ascii="Arial" w:cs="Arial" w:eastAsia="Arial" w:hAnsi="Arial"/>
          <w:b w:val="1"/>
          <w:bCs w:val="1"/>
          <w:u w:val="single"/>
          <w:rtl w:val="0"/>
        </w:rPr>
        <w:t xml:space="preserve">Liderazgo tecnológico, sostenibilidad y gobernanza participativa</w:t>
      </w:r>
    </w:p>
    <w:p w:rsidR="00000000" w:rsidDel="00000000" w:rsidP="00000000" w:rsidRDefault="00000000" w:rsidRPr="00000000" w14:paraId="00000011">
      <w:pPr>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El proyecto Santander Smart Destination no se limita a una simple actualización de los sistemas técnicos municipales, sino que representa un cambio integral de paradigma en la interacción de la ciudad con sus visitantes. Gracias a la monitorización de datos en tiempo real, tanto la administración pública como el sector privado contarán con evidencias sólidas para diseñar estrategias comerciales y turísticas de alta precisión.</w:t>
      </w:r>
    </w:p>
    <w:p w:rsidR="00000000" w:rsidDel="00000000" w:rsidP="00000000" w:rsidRDefault="00000000" w:rsidRPr="00000000" w14:paraId="00000012">
      <w:pPr>
        <w:spacing w:after="240" w:line="276" w:lineRule="auto"/>
        <w:jc w:val="both"/>
        <w:rPr>
          <w:rFonts w:ascii="Arial" w:cs="Arial" w:eastAsia="Arial" w:hAnsi="Arial"/>
        </w:rPr>
      </w:pPr>
      <w:r w:rsidDel="00000000" w:rsidR="00000000" w:rsidRPr="00000000">
        <w:rPr>
          <w:rFonts w:ascii="Arial" w:cs="Arial" w:eastAsia="Arial" w:hAnsi="Arial"/>
          <w:rtl w:val="0"/>
        </w:rPr>
        <w:t xml:space="preserve">El proyecto </w:t>
      </w:r>
      <w:r w:rsidDel="00000000" w:rsidR="00000000" w:rsidRPr="00000000">
        <w:rPr>
          <w:rFonts w:ascii="Arial" w:cs="Arial" w:eastAsia="Arial" w:hAnsi="Arial"/>
          <w:i w:val="1"/>
          <w:iCs w:val="1"/>
          <w:rtl w:val="0"/>
        </w:rPr>
        <w:t xml:space="preserve">Santander Smart Destination</w:t>
      </w:r>
      <w:r w:rsidDel="00000000" w:rsidR="00000000" w:rsidRPr="00000000">
        <w:rPr>
          <w:rFonts w:ascii="Arial" w:cs="Arial" w:eastAsia="Arial" w:hAnsi="Arial"/>
          <w:rtl w:val="0"/>
        </w:rPr>
        <w:t xml:space="preserve"> está impulsado por el Ministerio de Industria y Turismo a través de la Secretaría de Estado de Turismo y Segittur, estando plenamente financiado por la Unión Europea - NextGenerationEU mediante el Plan de Recuperación, Transformación y Resiliencia del Gobierno de España. Con este despliegue, Santander se sitúa a la vanguardia de la Red de Destinos Turísticos Inteligentes, dotando a sus empresas de las herramientas necesarias para competir con éxito en la economía digital.</w:t>
      </w:r>
    </w:p>
    <w:p w:rsidR="00000000" w:rsidDel="00000000" w:rsidP="00000000" w:rsidRDefault="00000000" w:rsidRPr="00000000" w14:paraId="00000013">
      <w:pPr>
        <w:pStyle w:val="Heading3"/>
        <w:spacing w:after="80" w:before="280" w:line="276" w:lineRule="auto"/>
        <w:jc w:val="both"/>
        <w:rPr>
          <w:rFonts w:ascii="Arial" w:cs="Arial" w:eastAsia="Arial" w:hAnsi="Arial"/>
          <w:b w:val="1"/>
          <w:bCs w:val="1"/>
          <w:u w:val="single"/>
        </w:rPr>
      </w:pPr>
      <w:bookmarkStart w:colFirst="0" w:colLast="0" w:name="_heading=h.2ggp38woxyfa" w:id="2"/>
      <w:bookmarkEnd w:id="2"/>
      <w:r w:rsidDel="00000000" w:rsidR="00000000" w:rsidRPr="00000000">
        <w:rPr>
          <w:rFonts w:ascii="Arial" w:cs="Arial" w:eastAsia="Arial" w:hAnsi="Arial"/>
          <w:b w:val="1"/>
          <w:bCs w:val="1"/>
          <w:u w:val="single"/>
          <w:rtl w:val="0"/>
        </w:rPr>
        <w:t xml:space="preserve">Convocatoria y detalles de acceso al evento</w:t>
      </w:r>
    </w:p>
    <w:p w:rsidR="00000000" w:rsidDel="00000000" w:rsidP="00000000" w:rsidRDefault="00000000" w:rsidRPr="00000000" w14:paraId="00000014">
      <w:pPr>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El Ayuntamiento recuerda que el acceso a esta formación virtual es completamente abierto y gratuito para todo el tejido empresarial y asociativo de la ciudad, previa inscripción.</w:t>
      </w:r>
    </w:p>
    <w:p w:rsidR="00000000" w:rsidDel="00000000" w:rsidP="00000000" w:rsidRDefault="00000000" w:rsidRPr="00000000" w14:paraId="00000015">
      <w:pPr>
        <w:numPr>
          <w:ilvl w:val="0"/>
          <w:numId w:val="1"/>
        </w:numPr>
        <w:spacing w:after="0" w:before="240" w:line="276"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Evento:</w:t>
      </w:r>
      <w:r w:rsidDel="00000000" w:rsidR="00000000" w:rsidRPr="00000000">
        <w:rPr>
          <w:rFonts w:ascii="Arial" w:cs="Arial" w:eastAsia="Arial" w:hAnsi="Arial"/>
          <w:rtl w:val="0"/>
        </w:rPr>
        <w:t xml:space="preserve"> Formación Online: Aprende todas las funcionalidades de Santander Smart Destination.</w:t>
      </w:r>
    </w:p>
    <w:p w:rsidR="00000000" w:rsidDel="00000000" w:rsidP="00000000" w:rsidRDefault="00000000" w:rsidRPr="00000000" w14:paraId="00000016">
      <w:pPr>
        <w:numPr>
          <w:ilvl w:val="0"/>
          <w:numId w:val="1"/>
        </w:numPr>
        <w:spacing w:after="0" w:before="0" w:line="276"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Fecha:</w:t>
      </w:r>
      <w:r w:rsidDel="00000000" w:rsidR="00000000" w:rsidRPr="00000000">
        <w:rPr>
          <w:rFonts w:ascii="Arial" w:cs="Arial" w:eastAsia="Arial" w:hAnsi="Arial"/>
          <w:rtl w:val="0"/>
        </w:rPr>
        <w:t xml:space="preserve"> Jueves, 11 de junio de 2026.</w:t>
      </w:r>
    </w:p>
    <w:p w:rsidR="00000000" w:rsidDel="00000000" w:rsidP="00000000" w:rsidRDefault="00000000" w:rsidRPr="00000000" w14:paraId="00000017">
      <w:pPr>
        <w:numPr>
          <w:ilvl w:val="0"/>
          <w:numId w:val="1"/>
        </w:numPr>
        <w:spacing w:after="0" w:before="0" w:line="276"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Hora de inicio:</w:t>
      </w:r>
      <w:r w:rsidDel="00000000" w:rsidR="00000000" w:rsidRPr="00000000">
        <w:rPr>
          <w:rFonts w:ascii="Arial" w:cs="Arial" w:eastAsia="Arial" w:hAnsi="Arial"/>
          <w:rtl w:val="0"/>
        </w:rPr>
        <w:t xml:space="preserve"> 09:50 H.</w:t>
      </w:r>
    </w:p>
    <w:p w:rsidR="00000000" w:rsidDel="00000000" w:rsidP="00000000" w:rsidRDefault="00000000" w:rsidRPr="00000000" w14:paraId="00000018">
      <w:pPr>
        <w:numPr>
          <w:ilvl w:val="0"/>
          <w:numId w:val="1"/>
        </w:numPr>
        <w:spacing w:after="0" w:before="0" w:line="276"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Duración:</w:t>
      </w:r>
      <w:r w:rsidDel="00000000" w:rsidR="00000000" w:rsidRPr="00000000">
        <w:rPr>
          <w:rFonts w:ascii="Arial" w:cs="Arial" w:eastAsia="Arial" w:hAnsi="Arial"/>
          <w:rtl w:val="0"/>
        </w:rPr>
        <w:t xml:space="preserve"> 1,5 horas de duración.</w:t>
      </w:r>
    </w:p>
    <w:p w:rsidR="00000000" w:rsidDel="00000000" w:rsidP="00000000" w:rsidRDefault="00000000" w:rsidRPr="00000000" w14:paraId="00000019">
      <w:pPr>
        <w:numPr>
          <w:ilvl w:val="0"/>
          <w:numId w:val="1"/>
        </w:numPr>
        <w:spacing w:after="240" w:before="0" w:line="276" w:lineRule="auto"/>
        <w:ind w:left="720" w:hanging="360"/>
        <w:rPr>
          <w:rFonts w:ascii="Arial" w:cs="Arial" w:eastAsia="Arial" w:hAnsi="Arial"/>
          <w:u w:val="none"/>
        </w:rPr>
      </w:pPr>
      <w:r w:rsidDel="00000000" w:rsidR="00000000" w:rsidRPr="00000000">
        <w:rPr>
          <w:rFonts w:ascii="Arial" w:cs="Arial" w:eastAsia="Arial" w:hAnsi="Arial"/>
          <w:b w:val="1"/>
          <w:bCs w:val="1"/>
          <w:rtl w:val="0"/>
        </w:rPr>
        <w:t xml:space="preserve">Inscripciones</w:t>
      </w:r>
      <w:r w:rsidDel="00000000" w:rsidR="00000000" w:rsidRPr="00000000">
        <w:rPr>
          <w:rFonts w:ascii="Arial" w:cs="Arial" w:eastAsia="Arial" w:hAnsi="Arial"/>
          <w:rtl w:val="0"/>
        </w:rPr>
        <w:t xml:space="preserve"> a través del siguiente formulario: </w:t>
      </w:r>
      <w:hyperlink r:id="rId7">
        <w:r w:rsidDel="00000000" w:rsidR="00000000" w:rsidRPr="00000000">
          <w:rPr>
            <w:rFonts w:ascii="Arial" w:cs="Arial" w:eastAsia="Arial" w:hAnsi="Arial"/>
            <w:color w:val="1264a3"/>
            <w:rtl w:val="0"/>
          </w:rPr>
          <w:t xml:space="preserve">https://santandersmartdestination.com/webinar-11-06-pid-santander-formulario/</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Nota: se envía</w:t>
      </w:r>
      <w:r w:rsidDel="00000000" w:rsidR="00000000" w:rsidRPr="00000000">
        <w:rPr>
          <w:rFonts w:ascii="Arial" w:cs="Arial" w:eastAsia="Arial" w:hAnsi="Arial"/>
          <w:b w:val="1"/>
          <w:bCs w:val="1"/>
          <w:rtl w:val="0"/>
        </w:rPr>
        <w:t xml:space="preserve"> cartel</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2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lineRule="auto"/>
        <w:jc w:val="both"/>
        <w:rPr>
          <w:rFonts w:ascii="Arial" w:cs="Arial" w:eastAsia="Arial" w:hAnsi="Arial"/>
          <w:color w:val="000000"/>
        </w:rPr>
      </w:pPr>
      <w:r w:rsidDel="00000000" w:rsidR="00000000" w:rsidRPr="00000000">
        <w:rPr>
          <w:rFonts w:ascii="Arial" w:cs="Arial" w:eastAsia="Arial" w:hAnsi="Arial"/>
          <w:color w:val="000000"/>
        </w:rPr>
        <w:drawing>
          <wp:inline distB="0" distT="0" distL="0" distR="0">
            <wp:extent cx="285750" cy="285750"/>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85750" cy="285750"/>
                    </a:xfrm>
                    <a:prstGeom prst="rect"/>
                    <a:ln/>
                  </pic:spPr>
                </pic:pic>
              </a:graphicData>
            </a:graphic>
          </wp:inline>
        </w:drawing>
      </w:r>
      <w:r w:rsidDel="00000000" w:rsidR="00000000" w:rsidRPr="00000000">
        <w:rPr>
          <w:rFonts w:ascii="Arial" w:cs="Arial" w:eastAsia="Arial" w:hAnsi="Arial"/>
          <w:color w:val="000000"/>
        </w:rPr>
        <w:drawing>
          <wp:inline distB="0" distT="0" distL="0" distR="0">
            <wp:extent cx="285750" cy="285750"/>
            <wp:effectExtent b="0" l="0" r="0" t="0"/>
            <wp:docPr id="4"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285750" cy="285750"/>
                    </a:xfrm>
                    <a:prstGeom prst="rect"/>
                    <a:ln/>
                  </pic:spPr>
                </pic:pic>
              </a:graphicData>
            </a:graphic>
          </wp:inline>
        </w:drawing>
      </w:r>
      <w:r w:rsidDel="00000000" w:rsidR="00000000" w:rsidRPr="00000000">
        <w:rPr>
          <w:rFonts w:ascii="Arial" w:cs="Arial" w:eastAsia="Arial" w:hAnsi="Arial"/>
          <w:color w:val="000000"/>
        </w:rPr>
        <w:drawing>
          <wp:inline distB="0" distT="0" distL="0" distR="0">
            <wp:extent cx="285750" cy="285750"/>
            <wp:effectExtent b="0" l="0" r="0" t="0"/>
            <wp:docPr id="2"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285750" cy="285750"/>
                    </a:xfrm>
                    <a:prstGeom prst="rect"/>
                    <a:ln/>
                  </pic:spPr>
                </pic:pic>
              </a:graphicData>
            </a:graphic>
          </wp:inline>
        </w:drawing>
      </w:r>
      <w:r w:rsidDel="00000000" w:rsidR="00000000" w:rsidRPr="00000000">
        <w:rPr>
          <w:rFonts w:ascii="Arial" w:cs="Arial" w:eastAsia="Arial" w:hAnsi="Arial"/>
          <w:color w:val="000000"/>
        </w:rPr>
        <w:drawing>
          <wp:inline distB="0" distT="0" distL="0" distR="0">
            <wp:extent cx="285750" cy="285750"/>
            <wp:effectExtent b="0" l="0" r="0" t="0"/>
            <wp:docPr id="6" name="image9.png"/>
            <a:graphic>
              <a:graphicData uri="http://schemas.openxmlformats.org/drawingml/2006/picture">
                <pic:pic>
                  <pic:nvPicPr>
                    <pic:cNvPr id="0" name="image9.png"/>
                    <pic:cNvPicPr preferRelativeResize="0"/>
                  </pic:nvPicPr>
                  <pic:blipFill>
                    <a:blip r:embed="rId11"/>
                    <a:srcRect b="0" l="0" r="0" t="0"/>
                    <a:stretch>
                      <a:fillRect/>
                    </a:stretch>
                  </pic:blipFill>
                  <pic:spPr>
                    <a:xfrm>
                      <a:off x="0" y="0"/>
                      <a:ext cx="285750" cy="285750"/>
                    </a:xfrm>
                    <a:prstGeom prst="rect"/>
                    <a:ln/>
                  </pic:spPr>
                </pic:pic>
              </a:graphicData>
            </a:graphic>
          </wp:inline>
        </w:drawing>
      </w:r>
      <w:r w:rsidDel="00000000" w:rsidR="00000000" w:rsidRPr="00000000">
        <w:rPr>
          <w:rFonts w:ascii="Arial" w:cs="Arial" w:eastAsia="Arial" w:hAnsi="Arial"/>
          <w:color w:val="000000"/>
        </w:rPr>
        <w:drawing>
          <wp:inline distB="0" distT="0" distL="0" distR="0">
            <wp:extent cx="285750" cy="285750"/>
            <wp:effectExtent b="0" l="0" r="0" t="0"/>
            <wp:docPr id="5"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285750" cy="285750"/>
                    </a:xfrm>
                    <a:prstGeom prst="rect"/>
                    <a:ln/>
                  </pic:spPr>
                </pic:pic>
              </a:graphicData>
            </a:graphic>
          </wp:inline>
        </w:drawing>
      </w:r>
      <w:r w:rsidDel="00000000" w:rsidR="00000000" w:rsidRPr="00000000">
        <w:rPr>
          <w:rFonts w:ascii="Arial" w:cs="Arial" w:eastAsia="Arial" w:hAnsi="Arial"/>
          <w:color w:val="000000"/>
        </w:rPr>
        <w:drawing>
          <wp:inline distB="0" distT="0" distL="0" distR="0">
            <wp:extent cx="285750" cy="285750"/>
            <wp:effectExtent b="0" l="0" r="0" t="0"/>
            <wp:docPr id="8"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285750" cy="285750"/>
                    </a:xfrm>
                    <a:prstGeom prst="rect"/>
                    <a:ln/>
                  </pic:spPr>
                </pic:pic>
              </a:graphicData>
            </a:graphic>
          </wp:inline>
        </w:drawing>
      </w:r>
      <w:r w:rsidDel="00000000" w:rsidR="00000000" w:rsidRPr="00000000">
        <w:rPr>
          <w:rFonts w:ascii="Arial" w:cs="Arial" w:eastAsia="Arial" w:hAnsi="Arial"/>
          <w:color w:val="000000"/>
        </w:rPr>
        <w:drawing>
          <wp:inline distB="0" distT="0" distL="0" distR="0">
            <wp:extent cx="285750" cy="285750"/>
            <wp:effectExtent b="0" l="0" r="0" t="0"/>
            <wp:docPr id="7"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285750" cy="285750"/>
                    </a:xfrm>
                    <a:prstGeom prst="rect"/>
                    <a:ln/>
                  </pic:spPr>
                </pic:pic>
              </a:graphicData>
            </a:graphic>
          </wp:inline>
        </w:drawing>
      </w:r>
      <w:r w:rsidDel="00000000" w:rsidR="00000000" w:rsidRPr="00000000">
        <w:rPr>
          <w:rFonts w:ascii="Arial" w:cs="Arial" w:eastAsia="Arial" w:hAnsi="Arial"/>
          <w:color w:val="000000"/>
        </w:rPr>
        <w:drawing>
          <wp:inline distB="0" distT="0" distL="0" distR="0">
            <wp:extent cx="285750" cy="285750"/>
            <wp:effectExtent b="0" l="0" r="0" t="0"/>
            <wp:docPr id="9" name="image10.png"/>
            <a:graphic>
              <a:graphicData uri="http://schemas.openxmlformats.org/drawingml/2006/picture">
                <pic:pic>
                  <pic:nvPicPr>
                    <pic:cNvPr id="0" name="image10.png"/>
                    <pic:cNvPicPr preferRelativeResize="0"/>
                  </pic:nvPicPr>
                  <pic:blipFill>
                    <a:blip r:embed="rId15"/>
                    <a:srcRect b="0" l="0" r="0" t="0"/>
                    <a:stretch>
                      <a:fillRect/>
                    </a:stretch>
                  </pic:blipFill>
                  <pic:spPr>
                    <a:xfrm>
                      <a:off x="0" y="0"/>
                      <a:ext cx="285750" cy="28575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lineRule="auto"/>
        <w:jc w:val="both"/>
        <w:rPr>
          <w:rFonts w:ascii="Arial" w:cs="Arial" w:eastAsia="Arial" w:hAnsi="Arial"/>
          <w:color w:val="000000"/>
        </w:rPr>
      </w:pPr>
      <w:r w:rsidDel="00000000" w:rsidR="00000000" w:rsidRPr="00000000">
        <w:rPr>
          <w:rtl w:val="0"/>
        </w:rPr>
      </w:r>
    </w:p>
    <w:sectPr>
      <w:headerReference r:id="rId16" w:type="default"/>
      <w:footerReference r:id="rId17" w:type="default"/>
      <w:pgSz w:h="16840" w:w="11900" w:orient="portrait"/>
      <w:pgMar w:bottom="1417" w:top="1417" w:left="1701" w:right="1701" w:header="709"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tabs>
        <w:tab w:val="center" w:leader="none" w:pos="4252"/>
        <w:tab w:val="right" w:leader="none" w:pos="8504"/>
      </w:tabs>
      <w:jc w:val="center"/>
      <w:rPr>
        <w:sz w:val="14"/>
        <w:szCs w:val="14"/>
      </w:rPr>
    </w:pPr>
    <w:r w:rsidDel="00000000" w:rsidR="00000000" w:rsidRPr="00000000">
      <w:rPr>
        <w:sz w:val="14"/>
        <w:szCs w:val="14"/>
        <w:rtl w:val="0"/>
      </w:rPr>
      <w:t xml:space="preserve">Excmo. Ayuntamiento de Santander – Plaza del Ayuntamiento, s/n – 39002, Santander (Cantabria)</w:t>
    </w:r>
  </w:p>
  <w:p w:rsidR="00000000" w:rsidDel="00000000" w:rsidP="00000000" w:rsidRDefault="00000000" w:rsidRPr="00000000" w14:paraId="00000020">
    <w:pPr>
      <w:tabs>
        <w:tab w:val="center" w:leader="none" w:pos="4252"/>
        <w:tab w:val="right" w:leader="none" w:pos="8504"/>
      </w:tabs>
      <w:jc w:val="center"/>
      <w:rPr>
        <w:color w:val="e88a35"/>
        <w:sz w:val="14"/>
        <w:szCs w:val="14"/>
        <w:u w:val="single"/>
      </w:rPr>
    </w:pPr>
    <w:r w:rsidDel="00000000" w:rsidR="00000000" w:rsidRPr="00000000">
      <w:rPr>
        <w:sz w:val="14"/>
        <w:szCs w:val="14"/>
        <w:rtl w:val="0"/>
      </w:rPr>
      <w:t xml:space="preserve">Teléfono: 942 200 722 – </w:t>
    </w:r>
    <w:hyperlink r:id="rId1">
      <w:r w:rsidDel="00000000" w:rsidR="00000000" w:rsidRPr="00000000">
        <w:rPr>
          <w:color w:val="e88a35"/>
          <w:sz w:val="14"/>
          <w:szCs w:val="14"/>
          <w:u w:val="single"/>
          <w:rtl w:val="0"/>
        </w:rPr>
        <w:t xml:space="preserve">prensa@ayto-santander.es</w:t>
      </w:r>
    </w:hyperlink>
    <w:r w:rsidDel="00000000" w:rsidR="00000000" w:rsidRPr="00000000">
      <w:rPr>
        <w:rtl w:val="0"/>
      </w:rPr>
    </w:r>
  </w:p>
  <w:p w:rsidR="00000000" w:rsidDel="00000000" w:rsidP="00000000" w:rsidRDefault="00000000" w:rsidRPr="00000000" w14:paraId="00000021">
    <w:pPr>
      <w:tabs>
        <w:tab w:val="center" w:leader="none" w:pos="4252"/>
        <w:tab w:val="right" w:leader="none" w:pos="8504"/>
      </w:tabs>
      <w:jc w:val="center"/>
      <w:rPr>
        <w:color w:val="e88a35"/>
        <w:sz w:val="14"/>
        <w:szCs w:val="14"/>
        <w:u w:val="single"/>
      </w:rPr>
    </w:pPr>
    <w:r w:rsidDel="00000000" w:rsidR="00000000" w:rsidRPr="00000000">
      <w:rPr>
        <w:rtl w:val="0"/>
      </w:rPr>
    </w:r>
  </w:p>
  <w:p w:rsidR="00000000" w:rsidDel="00000000" w:rsidP="00000000" w:rsidRDefault="00000000" w:rsidRPr="00000000" w14:paraId="00000022">
    <w:pPr>
      <w:tabs>
        <w:tab w:val="center" w:leader="none" w:pos="4252"/>
        <w:tab w:val="right" w:leader="none" w:pos="8504"/>
      </w:tabs>
      <w:jc w:val="center"/>
      <w:rPr>
        <w:sz w:val="14"/>
        <w:szCs w:val="14"/>
      </w:rPr>
    </w:pPr>
    <w:r w:rsidDel="00000000" w:rsidR="00000000" w:rsidRPr="00000000">
      <w:rPr>
        <w:sz w:val="14"/>
        <w:szCs w:val="14"/>
      </w:rPr>
      <w:drawing>
        <wp:inline distB="0" distT="0" distL="0" distR="0">
          <wp:extent cx="1777897" cy="233483"/>
          <wp:effectExtent b="0" l="0" r="0" t="0"/>
          <wp:docPr id="10"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777897" cy="233483"/>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252"/>
        <w:tab w:val="right" w:leader="none" w:pos="8504"/>
      </w:tabs>
      <w:spacing w:after="1080" w:lineRule="auto"/>
      <w:rPr>
        <w:color w:val="000000"/>
      </w:rPr>
    </w:pPr>
    <w:r w:rsidDel="00000000" w:rsidR="00000000" w:rsidRPr="00000000">
      <w:rPr>
        <w:color w:val="000000"/>
      </w:rPr>
      <w:drawing>
        <wp:anchor allowOverlap="1" behindDoc="0" distB="0" distT="0" distL="114300" distR="114300" hidden="0" layoutInCell="1" locked="0" relativeHeight="0" simplePos="0">
          <wp:simplePos x="0" y="0"/>
          <wp:positionH relativeFrom="page">
            <wp:posOffset>-1266</wp:posOffset>
          </wp:positionH>
          <wp:positionV relativeFrom="page">
            <wp:posOffset>16510</wp:posOffset>
          </wp:positionV>
          <wp:extent cx="7559675" cy="947420"/>
          <wp:effectExtent b="0" l="0" r="0" t="0"/>
          <wp:wrapSquare wrapText="bothSides" distB="0" distT="0" distL="114300" distR="114300"/>
          <wp:docPr id="3" name="image8.jpg"/>
          <a:graphic>
            <a:graphicData uri="http://schemas.openxmlformats.org/drawingml/2006/picture">
              <pic:pic>
                <pic:nvPicPr>
                  <pic:cNvPr id="0" name="image8.jpg"/>
                  <pic:cNvPicPr preferRelativeResize="0"/>
                </pic:nvPicPr>
                <pic:blipFill>
                  <a:blip r:embed="rId1"/>
                  <a:srcRect b="0" l="0" r="0" t="0"/>
                  <a:stretch>
                    <a:fillRect/>
                  </a:stretch>
                </pic:blipFill>
                <pic:spPr>
                  <a:xfrm>
                    <a:off x="0" y="0"/>
                    <a:ext cx="7559675" cy="94742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style>
  <w:style w:type="paragraph" w:styleId="Heading2">
    <w:name w:val="heading 2"/>
    <w:basedOn w:val="Normal"/>
    <w:next w:val="Normal"/>
    <w:pPr/>
    <w:rPr/>
  </w:style>
  <w:style w:type="paragraph" w:styleId="Heading3">
    <w:name w:val="heading 3"/>
    <w:basedOn w:val="Normal"/>
    <w:next w:val="Normal"/>
    <w:pPr/>
    <w:rPr/>
  </w:style>
  <w:style w:type="paragraph" w:styleId="Heading4">
    <w:name w:val="heading 4"/>
    <w:basedOn w:val="Normal"/>
    <w:next w:val="Normal"/>
    <w:pPr/>
    <w:rPr/>
  </w:style>
  <w:style w:type="paragraph" w:styleId="Heading5">
    <w:name w:val="heading 5"/>
    <w:basedOn w:val="Normal"/>
    <w:next w:val="Normal"/>
    <w:pPr/>
    <w:rPr/>
  </w:style>
  <w:style w:type="paragraph" w:styleId="Heading6">
    <w:name w:val="heading 6"/>
    <w:basedOn w:val="Normal"/>
    <w:next w:val="Normal"/>
    <w:pPr>
      <w:keepNext w:val="1"/>
      <w:keepLines w:val="1"/>
      <w:spacing w:before="40" w:lineRule="auto"/>
    </w:pPr>
    <w:rPr>
      <w:rFonts w:ascii="Calibri" w:cs="Calibri" w:eastAsia="Calibri" w:hAnsi="Calibri"/>
      <w:color w:val="00303e"/>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9.png"/><Relationship Id="rId10" Type="http://schemas.openxmlformats.org/officeDocument/2006/relationships/image" Target="media/image6.png"/><Relationship Id="rId13" Type="http://schemas.openxmlformats.org/officeDocument/2006/relationships/image" Target="media/image7.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image" Target="media/image10.png"/><Relationship Id="rId14" Type="http://schemas.openxmlformats.org/officeDocument/2006/relationships/image" Target="media/image4.png"/><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antandersmartdestination.com/webinar-11-06-pid-santander-formulario/"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prensa@ayto-santander.es" TargetMode="External"/><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UHa93H+dHCnvUH+wEvNnVa4Ibw==">CgMxLjAyDmgucXRlMHBtdmw4YTRtMg5oLmprbmszaGdqMW9lMDIOaC4yZ2dwMzh3b3h5ZmE4AHIhMThfQUxkdDZZSkx4Z1NGaGhiYnJhcllpX1FWV1NfRXdR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