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El Ayuntamiento de Santander forma al tejido empresarial local en geolocalización y planificación turística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 tejido empresarial de cinco segmentos turísticos participa en el segundo webinar formativo de la PID para co-crear un destino más conectado, adaptativo y orientado a la mejora continua.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junio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, 26.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Ayuntamiento de Santander continúa impulsando la transformación digital de su sector turístico con la celebración, en el día de hoy, de una nueva sesión formativa y de difusión dentro del marco del proyecto general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Santander Smart Destination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. Esta iniciativa, que cuenta con la financiación de la Unión Europea a través de los fondos NextGenerationEU, está promovida conjuntamente con la Secretaría de Estado de Turismo y SEGITTUR dentro del Plan de Recuperación, Transformación y Resiliencia.</w:t>
      </w:r>
    </w:p>
    <w:p w:rsidR="00000000" w:rsidDel="00000000" w:rsidP="00000000" w:rsidRDefault="00000000" w:rsidRPr="00000000" w14:paraId="00000008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jornada formativa virtual de hoy ha  tenido como propósito principal profundizar en el despliegue funcional de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Plataforma Inteligente de Destinos (PID)</w:t>
      </w:r>
      <w:r w:rsidDel="00000000" w:rsidR="00000000" w:rsidRPr="00000000">
        <w:rPr>
          <w:rFonts w:ascii="Arial" w:cs="Arial" w:eastAsia="Arial" w:hAnsi="Arial"/>
          <w:rtl w:val="0"/>
        </w:rPr>
        <w:t xml:space="preserve">. Tras repasar servicios básicos como el registro de usuarios, los cuadros de mando o la escucha activa del destino , el foco de la sesión se ha centrado en tres funcionalidades avanzadas clave: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Geolocalización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,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Planificación integral de la actividad</w:t>
      </w:r>
      <w:r w:rsidDel="00000000" w:rsidR="00000000" w:rsidRPr="00000000">
        <w:rPr>
          <w:rFonts w:ascii="Arial" w:cs="Arial" w:eastAsia="Arial" w:hAnsi="Arial"/>
          <w:rtl w:val="0"/>
        </w:rPr>
        <w:t xml:space="preserve"> y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Calidad de la experiencia del turista y visibilidad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3"/>
        <w:spacing w:after="80" w:line="276" w:lineRule="auto"/>
        <w:ind w:left="0" w:firstLine="0"/>
        <w:rPr>
          <w:rFonts w:ascii="Arial" w:cs="Arial" w:eastAsia="Arial" w:hAnsi="Arial"/>
          <w:b w:val="1"/>
          <w:bCs w:val="1"/>
          <w:u w:val="single"/>
        </w:rPr>
      </w:pPr>
      <w:bookmarkStart w:colFirst="0" w:colLast="0" w:name="_heading=h.o2np9knqrvk0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Visibilidad digital e impacto directo en los negocios locales</w:t>
      </w:r>
    </w:p>
    <w:p w:rsidR="00000000" w:rsidDel="00000000" w:rsidP="00000000" w:rsidRDefault="00000000" w:rsidRPr="00000000" w14:paraId="0000000A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objetivo primordial de estas herramientas es conectar de manera exacta y contextualizada la oferta de las empresas locales con el perfil de los visitantes que recorren la ciudad. A través del uso optimizado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Portal Profesional</w:t>
      </w:r>
      <w:r w:rsidDel="00000000" w:rsidR="00000000" w:rsidRPr="00000000">
        <w:rPr>
          <w:rFonts w:ascii="Arial" w:cs="Arial" w:eastAsia="Arial" w:hAnsi="Arial"/>
          <w:rtl w:val="0"/>
        </w:rPr>
        <w:t xml:space="preserve">, los establecimientos de Santander pueden integrarse de forma automática en mapas temáticos, rutas personalizadas y sugerencias de proximidad de la app oficial, eliminando intermediarios y costes de marketing tradicionales.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Geolocalización Inteligente: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Permite transformar el movimiento físico de los visitantes en flujos de demanda real para los comercios, alojamientos y empresas turísticas de Santander en el instante y lugar precisos.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Planificador Inteligente: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Genera itinerarios a medida cruzando los intereses específicos del turista (cultural, familiar, gastronómico) con la agenda de recursos públicos y la disponibilidad declarada por los negocios.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Calidad de la experiencia:</w:t>
      </w:r>
      <w:r w:rsidDel="00000000" w:rsidR="00000000" w:rsidRPr="00000000">
        <w:rPr>
          <w:rFonts w:ascii="Arial" w:cs="Arial" w:eastAsia="Arial" w:hAnsi="Arial"/>
          <w:rtl w:val="0"/>
        </w:rPr>
        <w:t xml:space="preserve"> Mediante un perfilado automático y respetuoso con la privacidad de los usuarios (conforme al RGPD) , la plataforma aprende de los comportamientos de navegación para priorizar y recomendar activamente las fichas comerciales con mayor compatibilidad.</w:t>
      </w:r>
    </w:p>
    <w:p w:rsidR="00000000" w:rsidDel="00000000" w:rsidP="00000000" w:rsidRDefault="00000000" w:rsidRPr="00000000" w14:paraId="0000000E">
      <w:pPr>
        <w:pStyle w:val="Heading3"/>
        <w:spacing w:after="80" w:line="276" w:lineRule="auto"/>
        <w:ind w:left="0" w:firstLine="0"/>
        <w:rPr>
          <w:rFonts w:ascii="Arial" w:cs="Arial" w:eastAsia="Arial" w:hAnsi="Arial"/>
          <w:b w:val="1"/>
          <w:bCs w:val="1"/>
          <w:u w:val="single"/>
        </w:rPr>
      </w:pPr>
      <w:bookmarkStart w:colFirst="0" w:colLast="0" w:name="_heading=h.eu63v4pm3yxj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Co-creación y gobernanza participativa</w:t>
      </w:r>
    </w:p>
    <w:p w:rsidR="00000000" w:rsidDel="00000000" w:rsidP="00000000" w:rsidRDefault="00000000" w:rsidRPr="00000000" w14:paraId="0000000F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Fiel al principio de gobernanza y colaboración público-privada que rige el proyecto , la sesión de hoy ha reservado un espacio fundamental para el debate y la puesta en común segmentada. Representantes de cinco segmentos diferentes del tejido turístico local han evaluado de forma directa junto a los técnicos de la organización la utilidad percibida de las herramientas, analizando su impacto potencial en la gestión diaria, resolviendo dudas y definiendo los próximos pasos para una adopción tecnológica sin fricciones en sus respectivas empresas.</w:t>
      </w:r>
    </w:p>
    <w:p w:rsidR="00000000" w:rsidDel="00000000" w:rsidP="00000000" w:rsidRDefault="00000000" w:rsidRPr="00000000" w14:paraId="00000010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 Ayuntamiento se ha subrayado que mantener actualizada la información empresarial en el Portal Profesional actúa como el verdadero "SEO turístico" dentro de la ciudad. Cuanto más completa, activa y dinámica sea la ficha de cada establecimiento local (con horarios reales, imágenes de alta calidad o habilitación de reservas), mayor será su posicionamiento, su volumen de visitas y su capacidad de captación dentro de Santander.</w:t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desde el Consistorio se ha emplazado a los participantes a participar en el acto de cierre que se celebrará el próximo 24 de junio en el Palacio de Exposiciones y Congresos de Santander. En esta cita se hará balance del progreso del proyecto y las acciones realizadas hasta la fecha.</w:t>
      </w:r>
    </w:p>
    <w:p w:rsidR="00000000" w:rsidDel="00000000" w:rsidP="00000000" w:rsidRDefault="00000000" w:rsidRPr="00000000" w14:paraId="00000012">
      <w:pPr>
        <w:spacing w:after="12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Tecnología al servicio de la sostenibilidad</w:t>
      </w:r>
    </w:p>
    <w:p w:rsidR="00000000" w:rsidDel="00000000" w:rsidP="00000000" w:rsidRDefault="00000000" w:rsidRPr="00000000" w14:paraId="00000013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Plataforma Inteligente de Destinos busca impulsar la competitividad del turismo, permitiendo una toma de decisiones basada en evidencias y mejorando la interacción con el turista antes, durante y después de su visita. 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plataforma no es solo una herramienta tecnológica, sino un ecosistema diseñado para conectar datos, personas y experiencias, facilitando una gestión más sostenible y eficiente del turismo. </w:t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proyecto cuenta con la financiación de la Unión Europea – NextGenerationEU, en el marco del Plan de Recuperación, Transformación y Resiliencia.</w:t>
      </w:r>
    </w:p>
    <w:p w:rsidR="00000000" w:rsidDel="00000000" w:rsidP="00000000" w:rsidRDefault="00000000" w:rsidRPr="00000000" w14:paraId="00000016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Nota: se envía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imagen de la sesión on-line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5750" cy="285750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40" w:w="11900" w:orient="portrait"/>
      <w:pgMar w:bottom="1417" w:top="1417" w:left="1701" w:right="1701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Excmo. Ayuntamiento de Santander – Plaza del Ayuntamiento, s/n – 39002, Santander (Cantabria)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jc w:val="center"/>
      <w:rPr>
        <w:color w:val="e88a35"/>
        <w:sz w:val="14"/>
        <w:szCs w:val="14"/>
        <w:u w:val="single"/>
      </w:rPr>
    </w:pPr>
    <w:r w:rsidDel="00000000" w:rsidR="00000000" w:rsidRPr="00000000">
      <w:rPr>
        <w:sz w:val="14"/>
        <w:szCs w:val="14"/>
        <w:rtl w:val="0"/>
      </w:rPr>
      <w:t xml:space="preserve">Teléfono: 942 200 722 – </w:t>
    </w:r>
    <w:hyperlink r:id="rId1">
      <w:r w:rsidDel="00000000" w:rsidR="00000000" w:rsidRPr="00000000">
        <w:rPr>
          <w:color w:val="e88a35"/>
          <w:sz w:val="14"/>
          <w:szCs w:val="14"/>
          <w:u w:val="single"/>
          <w:rtl w:val="0"/>
        </w:rPr>
        <w:t xml:space="preserve">prensa@ayto-santander.es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jc w:val="center"/>
      <w:rPr>
        <w:color w:val="e88a35"/>
        <w:sz w:val="14"/>
        <w:szCs w:val="14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252"/>
        <w:tab w:val="right" w:leader="none" w:pos="8504"/>
      </w:tabs>
      <w:jc w:val="center"/>
      <w:rPr>
        <w:sz w:val="14"/>
        <w:szCs w:val="14"/>
      </w:rPr>
    </w:pPr>
    <w:r w:rsidDel="00000000" w:rsidR="00000000" w:rsidRPr="00000000">
      <w:rPr>
        <w:sz w:val="14"/>
        <w:szCs w:val="14"/>
      </w:rPr>
      <w:drawing>
        <wp:inline distB="0" distT="0" distL="0" distR="0">
          <wp:extent cx="1777897" cy="233483"/>
          <wp:effectExtent b="0" l="0" r="0" t="0"/>
          <wp:docPr id="10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7897" cy="2334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108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-1265</wp:posOffset>
          </wp:positionH>
          <wp:positionV relativeFrom="page">
            <wp:posOffset>16510</wp:posOffset>
          </wp:positionV>
          <wp:extent cx="7559675" cy="947420"/>
          <wp:effectExtent b="0" l="0" r="0" t="0"/>
          <wp:wrapSquare wrapText="bothSides" distB="0" distT="0" distL="114300" distR="11430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947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/>
  </w:style>
  <w:style w:type="paragraph" w:styleId="Heading2">
    <w:name w:val="heading 2"/>
    <w:basedOn w:val="Normal"/>
    <w:next w:val="Normal"/>
    <w:pPr/>
    <w:rPr/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/>
    <w:rPr/>
  </w:style>
  <w:style w:type="paragraph" w:styleId="Heading5">
    <w:name w:val="heading 5"/>
    <w:basedOn w:val="Normal"/>
    <w:next w:val="Normal"/>
    <w:pPr/>
    <w:rPr/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00303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ensa@ayto-santander.es" TargetMode="External"/><Relationship Id="rId2" Type="http://schemas.openxmlformats.org/officeDocument/2006/relationships/image" Target="media/image9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nlUL3JEo5zjmKA4kU15v1moqg==">CgMxLjAyDmgubzJucDlrbnFydmswMg5oLmV1NjN2NHBtM3l4ajgAciExeDJQczItV1ZPejZJUFdYcTVDVUtGM3U5eUVvZ0p6aWc=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