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sz w:val="36"/>
          <w:szCs w:val="36"/>
          <w:rtl w:val="0"/>
        </w:rPr>
        <w:t xml:space="preserve">Santander convoca al sector turístico para presentar los progresos del proyecto Santander Smart Destination</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Arial" w:cs="Arial" w:eastAsia="Arial" w:hAnsi="Arial"/>
          <w:b w:val="1"/>
          <w:bCs w:val="1"/>
          <w:sz w:val="38"/>
          <w:szCs w:val="38"/>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El Palacio de Exposiciones y Congresos acogerá una jornada presencial el próximo 24 de junio que incluirá experiencias inmersivas y demostraciones reales de la Plataforma Inteligente de Destinos (PID) y el análisis de casos de éxito junto a otros destinos nacionales.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jc w:val="both"/>
        <w:rPr>
          <w:b w:val="1"/>
          <w:bCs w:val="1"/>
          <w:color w:val="000000"/>
        </w:rPr>
      </w:pPr>
      <w:r w:rsidDel="00000000" w:rsidR="00000000" w:rsidRPr="00000000">
        <w:rPr>
          <w:rFonts w:ascii="Arial" w:cs="Arial" w:eastAsia="Arial" w:hAnsi="Arial"/>
          <w:b w:val="1"/>
          <w:bCs w:val="1"/>
          <w:rtl w:val="0"/>
        </w:rPr>
        <w:t xml:space="preserve">19</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junio</w:t>
      </w:r>
      <w:r w:rsidDel="00000000" w:rsidR="00000000" w:rsidRPr="00000000">
        <w:rPr>
          <w:rFonts w:ascii="Arial" w:cs="Arial" w:eastAsia="Arial" w:hAnsi="Arial"/>
          <w:b w:val="1"/>
          <w:bCs w:val="1"/>
          <w:color w:val="000000"/>
          <w:rtl w:val="0"/>
        </w:rPr>
        <w:t xml:space="preserve">, 26.</w:t>
      </w:r>
      <w:r w:rsidDel="00000000" w:rsidR="00000000" w:rsidRPr="00000000">
        <w:rPr>
          <w:b w:val="1"/>
          <w:bCs w:val="1"/>
          <w:color w:val="000000"/>
          <w:rtl w:val="0"/>
        </w:rPr>
        <w:t xml:space="preserve"> </w:t>
      </w:r>
    </w:p>
    <w:p w:rsidR="00000000" w:rsidDel="00000000" w:rsidP="00000000" w:rsidRDefault="00000000" w:rsidRPr="00000000" w14:paraId="00000007">
      <w:pPr>
        <w:spacing w:after="240" w:line="276" w:lineRule="auto"/>
        <w:rPr>
          <w:rFonts w:ascii="Arial" w:cs="Arial" w:eastAsia="Arial" w:hAnsi="Arial"/>
        </w:rPr>
      </w:pPr>
      <w:r w:rsidDel="00000000" w:rsidR="00000000" w:rsidRPr="00000000">
        <w:rPr>
          <w:rFonts w:ascii="Arial" w:cs="Arial" w:eastAsia="Arial" w:hAnsi="Arial"/>
          <w:rtl w:val="0"/>
        </w:rPr>
        <w:t xml:space="preserve">El Ayuntamiento de Santander ha lanzado una convocatoria abierta al sector turístico local y a todos los agentes implicados para asistir el próximo miércoles 24 de junio, a partir de las 09:00 horas, al evento de cierre y balance de la iniciativa 'Santander Smart Destination'. La jornada se celebrará en el Palacio de Exposiciones y Congresos..</w:t>
      </w:r>
    </w:p>
    <w:p w:rsidR="00000000" w:rsidDel="00000000" w:rsidP="00000000" w:rsidRDefault="00000000" w:rsidRPr="00000000" w14:paraId="00000008">
      <w:pPr>
        <w:spacing w:after="240" w:before="240" w:line="276" w:lineRule="auto"/>
        <w:rPr>
          <w:rFonts w:ascii="Arial" w:cs="Arial" w:eastAsia="Arial" w:hAnsi="Arial"/>
        </w:rPr>
      </w:pPr>
      <w:r w:rsidDel="00000000" w:rsidR="00000000" w:rsidRPr="00000000">
        <w:rPr>
          <w:rFonts w:ascii="Arial" w:cs="Arial" w:eastAsia="Arial" w:hAnsi="Arial"/>
          <w:rtl w:val="0"/>
        </w:rPr>
        <w:t xml:space="preserve">Este encuentro presencial tiene como principal objetivo continuar acompañando al tejido turístico local compartiendo de forma ágil, directa y transparente los hitos y logros alcanzados a lo largo de este proceso de transformación digital. Asimismo, servirá para visibilizar el impacto real que la Plataforma Inteligente de Destinos (PID) está aportando de manera efectiva a la gestión de la actividad turística en el municipio.</w:t>
      </w:r>
    </w:p>
    <w:p w:rsidR="00000000" w:rsidDel="00000000" w:rsidP="00000000" w:rsidRDefault="00000000" w:rsidRPr="00000000" w14:paraId="00000009">
      <w:pPr>
        <w:spacing w:after="240" w:before="240" w:line="276" w:lineRule="auto"/>
        <w:rPr>
          <w:rFonts w:ascii="Arial" w:cs="Arial" w:eastAsia="Arial" w:hAnsi="Arial"/>
        </w:rPr>
      </w:pPr>
      <w:r w:rsidDel="00000000" w:rsidR="00000000" w:rsidRPr="00000000">
        <w:rPr>
          <w:rFonts w:ascii="Arial" w:cs="Arial" w:eastAsia="Arial" w:hAnsi="Arial"/>
          <w:rtl w:val="0"/>
        </w:rPr>
        <w:t xml:space="preserve">Tras la reciente conclusión de las diferentes sesiones formativas orientadas a los profesionales del sector, este evento supondrá un salto clave hacia la consolidación de proyectos tangibles. Los asistentes podrán presenciar en primera persona la materialización práctica de los diferentes módulos opcionales desplegados en Santander a través de demostraciones técnicas reales en vivo.</w:t>
      </w:r>
    </w:p>
    <w:p w:rsidR="00000000" w:rsidDel="00000000" w:rsidP="00000000" w:rsidRDefault="00000000" w:rsidRPr="00000000" w14:paraId="0000000A">
      <w:pPr>
        <w:spacing w:after="240" w:before="240" w:line="276" w:lineRule="auto"/>
        <w:rPr>
          <w:rFonts w:ascii="Arial" w:cs="Arial" w:eastAsia="Arial" w:hAnsi="Arial"/>
        </w:rPr>
      </w:pPr>
      <w:r w:rsidDel="00000000" w:rsidR="00000000" w:rsidRPr="00000000">
        <w:rPr>
          <w:rFonts w:ascii="Arial" w:cs="Arial" w:eastAsia="Arial" w:hAnsi="Arial"/>
          <w:rtl w:val="0"/>
        </w:rPr>
        <w:t xml:space="preserve">De igual forma, la jornada contará con una destacada dimensión colaborativa a nivel nacional con la presencia de SEGITTUR y gracias a la visita de representantes de otros destinos turísticos del país como Valencia, Logroño y Murcia. Estos expertos y gestores acudirán a Santander para compartir sus opiniones, casos de éxito y experiencias reales en la implementación de la PID, enriqueciendo el encuentro mediante el intercambio de buenas prácticas sectoriales.</w:t>
      </w:r>
    </w:p>
    <w:p w:rsidR="00000000" w:rsidDel="00000000" w:rsidP="00000000" w:rsidRDefault="00000000" w:rsidRPr="00000000" w14:paraId="0000000B">
      <w:pPr>
        <w:spacing w:after="240" w:before="240" w:line="276" w:lineRule="auto"/>
        <w:rPr>
          <w:rFonts w:ascii="Arial" w:cs="Arial" w:eastAsia="Arial" w:hAnsi="Arial"/>
        </w:rPr>
      </w:pPr>
      <w:r w:rsidDel="00000000" w:rsidR="00000000" w:rsidRPr="00000000">
        <w:rPr>
          <w:rFonts w:ascii="Arial" w:cs="Arial" w:eastAsia="Arial" w:hAnsi="Arial"/>
          <w:rtl w:val="0"/>
        </w:rPr>
        <w:t xml:space="preserve">Con el desarrollo de esta jornada y las herramientas tecnológicas implantadas, Santander reafirma su posición de liderazgo en el modelo de ciudades inteligentes, consolidando una estrategia donde la innovación digital se sitúa firmemente al servicio de un modelo turístico y urbano mucho más conectado, eficiente y sostenible.</w:t>
      </w:r>
    </w:p>
    <w:p w:rsidR="00000000" w:rsidDel="00000000" w:rsidP="00000000" w:rsidRDefault="00000000" w:rsidRPr="00000000" w14:paraId="0000000C">
      <w:pPr>
        <w:spacing w:after="120" w:lineRule="auto"/>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Tecnología al servicio de la sostenibilidad</w:t>
      </w:r>
    </w:p>
    <w:p w:rsidR="00000000" w:rsidDel="00000000" w:rsidP="00000000" w:rsidRDefault="00000000" w:rsidRPr="00000000" w14:paraId="0000000D">
      <w:pPr>
        <w:spacing w:after="120" w:lineRule="auto"/>
        <w:jc w:val="both"/>
        <w:rPr>
          <w:rFonts w:ascii="Arial" w:cs="Arial" w:eastAsia="Arial" w:hAnsi="Arial"/>
        </w:rPr>
      </w:pPr>
      <w:r w:rsidDel="00000000" w:rsidR="00000000" w:rsidRPr="00000000">
        <w:rPr>
          <w:rFonts w:ascii="Arial" w:cs="Arial" w:eastAsia="Arial" w:hAnsi="Arial"/>
          <w:rtl w:val="0"/>
        </w:rPr>
        <w:t xml:space="preserve">La Plataforma Inteligente de Destinos busca impulsar la competitividad del turismo, permitiendo una toma de decisiones basada en evidencias y mejorando la interacción con el turista antes, durante y después de su visita. </w:t>
      </w:r>
    </w:p>
    <w:p w:rsidR="00000000" w:rsidDel="00000000" w:rsidP="00000000" w:rsidRDefault="00000000" w:rsidRPr="00000000" w14:paraId="0000000E">
      <w:pPr>
        <w:spacing w:after="120" w:lineRule="auto"/>
        <w:jc w:val="both"/>
        <w:rPr>
          <w:rFonts w:ascii="Arial" w:cs="Arial" w:eastAsia="Arial" w:hAnsi="Arial"/>
        </w:rPr>
      </w:pPr>
      <w:r w:rsidDel="00000000" w:rsidR="00000000" w:rsidRPr="00000000">
        <w:rPr>
          <w:rFonts w:ascii="Arial" w:cs="Arial" w:eastAsia="Arial" w:hAnsi="Arial"/>
          <w:rtl w:val="0"/>
        </w:rPr>
        <w:t xml:space="preserve">Esta plataforma no es solo una herramienta tecnológica, sino un ecosistema diseñado para conectar datos, personas y experiencias, facilitando una gestión más sostenible y eficiente del turismo. </w:t>
      </w:r>
    </w:p>
    <w:p w:rsidR="00000000" w:rsidDel="00000000" w:rsidP="00000000" w:rsidRDefault="00000000" w:rsidRPr="00000000" w14:paraId="0000000F">
      <w:pPr>
        <w:spacing w:after="120" w:lineRule="auto"/>
        <w:jc w:val="both"/>
        <w:rPr>
          <w:rFonts w:ascii="Arial" w:cs="Arial" w:eastAsia="Arial" w:hAnsi="Arial"/>
        </w:rPr>
      </w:pPr>
      <w:r w:rsidDel="00000000" w:rsidR="00000000" w:rsidRPr="00000000">
        <w:rPr>
          <w:rFonts w:ascii="Arial" w:cs="Arial" w:eastAsia="Arial" w:hAnsi="Arial"/>
          <w:rtl w:val="0"/>
        </w:rPr>
        <w:t xml:space="preserve">Este proyecto cuenta con la financiación de la Unión Europea – NextGenerationEU, en el marco del Plan de Recuperación, Transformación y Resiliencia.</w:t>
      </w:r>
    </w:p>
    <w:p w:rsidR="00000000" w:rsidDel="00000000" w:rsidP="00000000" w:rsidRDefault="00000000" w:rsidRPr="00000000" w14:paraId="00000010">
      <w:pPr>
        <w:spacing w:after="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285750" cy="2857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6"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7"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285750" cy="285750"/>
                    </a:xfrm>
                    <a:prstGeom prst="rect"/>
                    <a:ln/>
                  </pic:spPr>
                </pic:pic>
              </a:graphicData>
            </a:graphic>
          </wp:inline>
        </w:drawing>
      </w:r>
      <w:r w:rsidDel="00000000" w:rsidR="00000000" w:rsidRPr="00000000">
        <w:rPr>
          <w:rFonts w:ascii="Arial" w:cs="Arial" w:eastAsia="Arial" w:hAnsi="Arial"/>
          <w:color w:val="000000"/>
        </w:rPr>
        <w:drawing>
          <wp:inline distB="0" distT="0" distL="0" distR="0">
            <wp:extent cx="285750" cy="285750"/>
            <wp:effectExtent b="0" l="0" r="0" t="0"/>
            <wp:docPr id="9"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28575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jc w:val="both"/>
        <w:rPr>
          <w:rFonts w:ascii="Arial" w:cs="Arial" w:eastAsia="Arial" w:hAnsi="Arial"/>
          <w:color w:val="000000"/>
        </w:rPr>
      </w:pPr>
      <w:r w:rsidDel="00000000" w:rsidR="00000000" w:rsidRPr="00000000">
        <w:rPr>
          <w:rtl w:val="0"/>
        </w:rPr>
      </w:r>
    </w:p>
    <w:sectPr>
      <w:headerReference r:id="rId15" w:type="default"/>
      <w:footerReference r:id="rId16" w:type="default"/>
      <w:pgSz w:h="16840" w:w="11900" w:orient="portrait"/>
      <w:pgMar w:bottom="1417" w:top="1417" w:left="1701" w:right="1701"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center" w:leader="none" w:pos="4252"/>
        <w:tab w:val="right" w:leader="none" w:pos="8504"/>
      </w:tabs>
      <w:jc w:val="center"/>
      <w:rPr>
        <w:sz w:val="14"/>
        <w:szCs w:val="14"/>
      </w:rPr>
    </w:pPr>
    <w:r w:rsidDel="00000000" w:rsidR="00000000" w:rsidRPr="00000000">
      <w:rPr>
        <w:sz w:val="14"/>
        <w:szCs w:val="14"/>
        <w:rtl w:val="0"/>
      </w:rPr>
      <w:t xml:space="preserve">Excmo. Ayuntamiento de Santander – Plaza del Ayuntamiento, s/n – 39002, Santander (Cantabria)</w:t>
    </w:r>
  </w:p>
  <w:p w:rsidR="00000000" w:rsidDel="00000000" w:rsidP="00000000" w:rsidRDefault="00000000" w:rsidRPr="00000000" w14:paraId="00000016">
    <w:pPr>
      <w:tabs>
        <w:tab w:val="center" w:leader="none" w:pos="4252"/>
        <w:tab w:val="right" w:leader="none" w:pos="8504"/>
      </w:tabs>
      <w:jc w:val="center"/>
      <w:rPr>
        <w:color w:val="e88a35"/>
        <w:sz w:val="14"/>
        <w:szCs w:val="14"/>
        <w:u w:val="single"/>
      </w:rPr>
    </w:pPr>
    <w:r w:rsidDel="00000000" w:rsidR="00000000" w:rsidRPr="00000000">
      <w:rPr>
        <w:sz w:val="14"/>
        <w:szCs w:val="14"/>
        <w:rtl w:val="0"/>
      </w:rPr>
      <w:t xml:space="preserve">Teléfono: 942 200 722 – </w:t>
    </w:r>
    <w:hyperlink r:id="rId1">
      <w:r w:rsidDel="00000000" w:rsidR="00000000" w:rsidRPr="00000000">
        <w:rPr>
          <w:color w:val="e88a35"/>
          <w:sz w:val="14"/>
          <w:szCs w:val="14"/>
          <w:u w:val="single"/>
          <w:rtl w:val="0"/>
        </w:rPr>
        <w:t xml:space="preserve">prensa@ayto-santander.es</w:t>
      </w:r>
    </w:hyperlink>
    <w:r w:rsidDel="00000000" w:rsidR="00000000" w:rsidRPr="00000000">
      <w:rPr>
        <w:rtl w:val="0"/>
      </w:rPr>
    </w:r>
  </w:p>
  <w:p w:rsidR="00000000" w:rsidDel="00000000" w:rsidP="00000000" w:rsidRDefault="00000000" w:rsidRPr="00000000" w14:paraId="00000017">
    <w:pPr>
      <w:tabs>
        <w:tab w:val="center" w:leader="none" w:pos="4252"/>
        <w:tab w:val="right" w:leader="none" w:pos="8504"/>
      </w:tabs>
      <w:jc w:val="center"/>
      <w:rPr>
        <w:color w:val="e88a35"/>
        <w:sz w:val="14"/>
        <w:szCs w:val="14"/>
        <w:u w:val="single"/>
      </w:rPr>
    </w:pPr>
    <w:r w:rsidDel="00000000" w:rsidR="00000000" w:rsidRPr="00000000">
      <w:rPr>
        <w:rtl w:val="0"/>
      </w:rPr>
    </w:r>
  </w:p>
  <w:p w:rsidR="00000000" w:rsidDel="00000000" w:rsidP="00000000" w:rsidRDefault="00000000" w:rsidRPr="00000000" w14:paraId="00000018">
    <w:pPr>
      <w:tabs>
        <w:tab w:val="center" w:leader="none" w:pos="4252"/>
        <w:tab w:val="right" w:leader="none" w:pos="8504"/>
      </w:tabs>
      <w:jc w:val="center"/>
      <w:rPr>
        <w:sz w:val="14"/>
        <w:szCs w:val="14"/>
      </w:rPr>
    </w:pPr>
    <w:r w:rsidDel="00000000" w:rsidR="00000000" w:rsidRPr="00000000">
      <w:rPr>
        <w:sz w:val="14"/>
        <w:szCs w:val="14"/>
      </w:rPr>
      <w:drawing>
        <wp:inline distB="0" distT="0" distL="0" distR="0">
          <wp:extent cx="1777897" cy="233483"/>
          <wp:effectExtent b="0" l="0" r="0" t="0"/>
          <wp:docPr id="10"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777897" cy="23348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252"/>
        <w:tab w:val="right" w:leader="none" w:pos="8504"/>
      </w:tabs>
      <w:spacing w:after="1080" w:lineRule="auto"/>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page">
            <wp:posOffset>-1264</wp:posOffset>
          </wp:positionH>
          <wp:positionV relativeFrom="page">
            <wp:posOffset>16510</wp:posOffset>
          </wp:positionV>
          <wp:extent cx="7559675" cy="947420"/>
          <wp:effectExtent b="0" l="0" r="0" t="0"/>
          <wp:wrapSquare wrapText="bothSides" distB="0" distT="0" distL="114300" distR="114300"/>
          <wp:docPr id="3" name="image10.jpg"/>
          <a:graphic>
            <a:graphicData uri="http://schemas.openxmlformats.org/drawingml/2006/picture">
              <pic:pic>
                <pic:nvPicPr>
                  <pic:cNvPr id="0" name="image10.jpg"/>
                  <pic:cNvPicPr preferRelativeResize="0"/>
                </pic:nvPicPr>
                <pic:blipFill>
                  <a:blip r:embed="rId1"/>
                  <a:srcRect b="0" l="0" r="0" t="0"/>
                  <a:stretch>
                    <a:fillRect/>
                  </a:stretch>
                </pic:blipFill>
                <pic:spPr>
                  <a:xfrm>
                    <a:off x="0" y="0"/>
                    <a:ext cx="7559675" cy="94742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keepNext w:val="1"/>
      <w:keepLines w:val="1"/>
      <w:spacing w:before="40" w:lineRule="auto"/>
    </w:pPr>
    <w:rPr>
      <w:rFonts w:ascii="Calibri" w:cs="Calibri" w:eastAsia="Calibri" w:hAnsi="Calibri"/>
      <w:color w:val="00303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9.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header" Target="header1.xml"/><Relationship Id="rId14" Type="http://schemas.openxmlformats.org/officeDocument/2006/relationships/image" Target="media/image8.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prensa@ayto-santander.es" TargetMode="External"/><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87M1IRpwFdToTTuZYg8YKnWxJQ==">CgMxLjA4AHIhMTEyR18xbml3UXgzSXIzdDRQNFJoalBEb1ZHdElsbGdx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